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7C1B2" w14:textId="3FA313E2" w:rsidR="007F0F72" w:rsidRPr="000A2E63" w:rsidRDefault="007F0F72" w:rsidP="007F0F72">
      <w:pPr>
        <w:tabs>
          <w:tab w:val="center" w:pos="4536"/>
          <w:tab w:val="right" w:pos="7938"/>
          <w:tab w:val="right" w:pos="9639"/>
        </w:tabs>
        <w:spacing w:after="0" w:line="240" w:lineRule="auto"/>
        <w:ind w:right="2"/>
        <w:rPr>
          <w:rFonts w:ascii="Times New Roman" w:eastAsia="Batang" w:hAnsi="Times New Roman" w:cs="Times New Roman"/>
          <w:b/>
          <w:bCs/>
          <w:szCs w:val="20"/>
          <w:lang w:val="de-DE"/>
        </w:rPr>
      </w:pPr>
      <w:bookmarkStart w:id="0" w:name="_Hlk495298459"/>
      <w:r w:rsidRPr="000A2E63">
        <w:rPr>
          <w:rFonts w:ascii="Times New Roman" w:eastAsia="Batang" w:hAnsi="Times New Roman" w:cs="Times New Roman"/>
          <w:b/>
          <w:bCs/>
          <w:szCs w:val="20"/>
          <w:lang w:val="de-DE"/>
        </w:rPr>
        <w:t xml:space="preserve">3GPP TSG RAN </w:t>
      </w:r>
      <w:r>
        <w:rPr>
          <w:rFonts w:ascii="Times New Roman" w:eastAsia="Batang" w:hAnsi="Times New Roman" w:cs="Times New Roman"/>
          <w:b/>
          <w:bCs/>
          <w:szCs w:val="20"/>
          <w:lang w:val="de-DE"/>
        </w:rPr>
        <w:t>#98-e</w:t>
      </w:r>
      <w:r w:rsidRPr="000A2E63">
        <w:rPr>
          <w:rFonts w:ascii="Times New Roman" w:eastAsia="Batang" w:hAnsi="Times New Roman" w:cs="Times New Roman"/>
          <w:b/>
          <w:bCs/>
          <w:szCs w:val="20"/>
          <w:lang w:val="de-DE"/>
        </w:rPr>
        <w:tab/>
      </w:r>
      <w:r w:rsidRPr="000A2E63">
        <w:rPr>
          <w:rFonts w:ascii="Times New Roman" w:eastAsia="Batang" w:hAnsi="Times New Roman" w:cs="Times New Roman"/>
          <w:b/>
          <w:bCs/>
          <w:szCs w:val="20"/>
          <w:lang w:val="de-DE"/>
        </w:rPr>
        <w:tab/>
      </w:r>
      <w:r w:rsidRPr="000A2E63">
        <w:rPr>
          <w:rFonts w:ascii="Times New Roman" w:eastAsia="Batang" w:hAnsi="Times New Roman" w:cs="Times New Roman"/>
          <w:b/>
          <w:bCs/>
          <w:szCs w:val="20"/>
          <w:lang w:val="de-DE"/>
        </w:rPr>
        <w:tab/>
      </w:r>
      <w:r w:rsidRPr="003D6C8F">
        <w:rPr>
          <w:rFonts w:ascii="Times New Roman" w:eastAsia="Batang" w:hAnsi="Times New Roman" w:cs="Times New Roman"/>
          <w:b/>
          <w:bCs/>
          <w:szCs w:val="20"/>
          <w:lang w:val="de-DE"/>
        </w:rPr>
        <w:t>R</w:t>
      </w:r>
      <w:r w:rsidR="003D6C8F">
        <w:rPr>
          <w:rFonts w:ascii="Times New Roman" w:eastAsia="Batang" w:hAnsi="Times New Roman" w:cs="Times New Roman"/>
          <w:b/>
          <w:bCs/>
          <w:szCs w:val="20"/>
          <w:lang w:val="de-DE"/>
        </w:rPr>
        <w:t>P</w:t>
      </w:r>
      <w:r w:rsidRPr="003D6C8F">
        <w:rPr>
          <w:rFonts w:ascii="Times New Roman" w:eastAsia="Batang" w:hAnsi="Times New Roman" w:cs="Times New Roman"/>
          <w:b/>
          <w:bCs/>
          <w:szCs w:val="20"/>
          <w:lang w:val="de-DE"/>
        </w:rPr>
        <w:t>-22</w:t>
      </w:r>
      <w:r w:rsidR="003D6C8F">
        <w:rPr>
          <w:rFonts w:ascii="Times New Roman" w:eastAsia="Batang" w:hAnsi="Times New Roman" w:cs="Times New Roman"/>
          <w:b/>
          <w:bCs/>
          <w:szCs w:val="20"/>
          <w:lang w:val="de-DE"/>
        </w:rPr>
        <w:t>3374</w:t>
      </w:r>
    </w:p>
    <w:p w14:paraId="64BEAC31" w14:textId="25A9B717" w:rsidR="007F0F72" w:rsidRPr="000A2E63" w:rsidRDefault="007F0F72" w:rsidP="007F0F72">
      <w:pPr>
        <w:tabs>
          <w:tab w:val="center" w:pos="4536"/>
          <w:tab w:val="right" w:pos="9072"/>
        </w:tabs>
        <w:spacing w:after="0" w:line="240" w:lineRule="auto"/>
        <w:rPr>
          <w:rFonts w:ascii="Times New Roman" w:eastAsia="MS Mincho" w:hAnsi="Times New Roman" w:cs="Times New Roman"/>
          <w:b/>
          <w:bCs/>
          <w:szCs w:val="20"/>
          <w:lang w:val="en-GB" w:eastAsia="ja-JP"/>
        </w:rPr>
      </w:pPr>
      <w:r>
        <w:rPr>
          <w:rFonts w:ascii="Times New Roman" w:eastAsia="MS Mincho" w:hAnsi="Times New Roman" w:cs="Times New Roman"/>
          <w:b/>
          <w:bCs/>
          <w:szCs w:val="20"/>
          <w:lang w:val="en-GB" w:eastAsia="ja-JP"/>
        </w:rPr>
        <w:t>Online</w:t>
      </w:r>
      <w:r w:rsidRPr="000A2E63">
        <w:rPr>
          <w:rFonts w:ascii="Times New Roman" w:eastAsia="MS Mincho" w:hAnsi="Times New Roman" w:cs="Times New Roman"/>
          <w:b/>
          <w:bCs/>
          <w:szCs w:val="20"/>
          <w:lang w:val="en-GB" w:eastAsia="ja-JP"/>
        </w:rPr>
        <w:t xml:space="preserve">, </w:t>
      </w:r>
      <w:r w:rsidR="003D6C8F">
        <w:rPr>
          <w:rFonts w:ascii="Times New Roman" w:eastAsia="MS Mincho" w:hAnsi="Times New Roman" w:cs="Times New Roman"/>
          <w:b/>
          <w:bCs/>
          <w:szCs w:val="20"/>
          <w:lang w:val="en-GB" w:eastAsia="ja-JP"/>
        </w:rPr>
        <w:t xml:space="preserve">December </w:t>
      </w:r>
      <w:r>
        <w:rPr>
          <w:rFonts w:ascii="Times New Roman" w:eastAsia="MS Mincho" w:hAnsi="Times New Roman" w:cs="Times New Roman"/>
          <w:b/>
          <w:bCs/>
          <w:szCs w:val="20"/>
          <w:lang w:val="en-GB" w:eastAsia="ja-JP"/>
        </w:rPr>
        <w:t>12</w:t>
      </w:r>
      <w:r w:rsidRPr="000A2E63">
        <w:rPr>
          <w:rFonts w:ascii="Times New Roman" w:eastAsia="MS Mincho" w:hAnsi="Times New Roman" w:cs="Times New Roman"/>
          <w:b/>
          <w:bCs/>
          <w:szCs w:val="20"/>
          <w:vertAlign w:val="superscript"/>
          <w:lang w:val="en-GB" w:eastAsia="ja-JP"/>
        </w:rPr>
        <w:t>th</w:t>
      </w:r>
      <w:r w:rsidRPr="000A2E63">
        <w:rPr>
          <w:rFonts w:ascii="Times New Roman" w:eastAsia="MS Mincho" w:hAnsi="Times New Roman" w:cs="Times New Roman"/>
          <w:b/>
          <w:bCs/>
          <w:szCs w:val="20"/>
          <w:lang w:val="en-GB" w:eastAsia="ja-JP"/>
        </w:rPr>
        <w:t xml:space="preserve"> – 1</w:t>
      </w:r>
      <w:r>
        <w:rPr>
          <w:rFonts w:ascii="Times New Roman" w:eastAsia="MS Mincho" w:hAnsi="Times New Roman" w:cs="Times New Roman"/>
          <w:b/>
          <w:bCs/>
          <w:szCs w:val="20"/>
          <w:lang w:val="en-GB" w:eastAsia="ja-JP"/>
        </w:rPr>
        <w:t>6</w:t>
      </w:r>
      <w:r w:rsidRPr="000A2E63">
        <w:rPr>
          <w:rFonts w:ascii="Times New Roman" w:eastAsia="MS Mincho" w:hAnsi="Times New Roman" w:cs="Times New Roman"/>
          <w:b/>
          <w:bCs/>
          <w:szCs w:val="20"/>
          <w:vertAlign w:val="superscript"/>
          <w:lang w:val="en-GB" w:eastAsia="ja-JP"/>
        </w:rPr>
        <w:t>th</w:t>
      </w:r>
      <w:r w:rsidRPr="000A2E63">
        <w:rPr>
          <w:rFonts w:ascii="Times New Roman" w:eastAsia="MS Mincho" w:hAnsi="Times New Roman" w:cs="Times New Roman"/>
          <w:b/>
          <w:bCs/>
          <w:szCs w:val="20"/>
          <w:lang w:val="en-GB" w:eastAsia="ja-JP"/>
        </w:rPr>
        <w:t>, 2022</w:t>
      </w:r>
    </w:p>
    <w:p w14:paraId="01E0CE8A" w14:textId="77777777" w:rsidR="007F0F72" w:rsidRPr="000A2E63" w:rsidRDefault="007F0F72" w:rsidP="007F0F72">
      <w:pPr>
        <w:tabs>
          <w:tab w:val="left" w:pos="1985"/>
        </w:tabs>
        <w:spacing w:after="120" w:line="240" w:lineRule="auto"/>
        <w:jc w:val="both"/>
        <w:rPr>
          <w:rFonts w:ascii="Times New Roman" w:eastAsia="Times New Roman" w:hAnsi="Times New Roman" w:cs="Times New Roman"/>
          <w:b/>
          <w:szCs w:val="24"/>
          <w:lang w:eastAsia="zh-CN"/>
        </w:rPr>
      </w:pPr>
    </w:p>
    <w:p w14:paraId="2860257A" w14:textId="48525AD5" w:rsidR="007F0F72" w:rsidRPr="000A2E63" w:rsidRDefault="007F0F72" w:rsidP="007F0F72">
      <w:pPr>
        <w:tabs>
          <w:tab w:val="left" w:pos="1985"/>
        </w:tabs>
        <w:spacing w:after="120" w:line="240" w:lineRule="auto"/>
        <w:jc w:val="both"/>
        <w:rPr>
          <w:rFonts w:ascii="Times New Roman" w:eastAsia="Times New Roman" w:hAnsi="Times New Roman" w:cs="Times New Roman"/>
          <w:szCs w:val="24"/>
          <w:lang w:eastAsia="zh-CN"/>
        </w:rPr>
      </w:pPr>
      <w:r w:rsidRPr="000A2E63">
        <w:rPr>
          <w:rFonts w:ascii="Times New Roman" w:eastAsia="Times New Roman" w:hAnsi="Times New Roman" w:cs="Times New Roman"/>
          <w:b/>
          <w:sz w:val="24"/>
          <w:szCs w:val="24"/>
          <w:lang w:eastAsia="zh-CN"/>
        </w:rPr>
        <w:t>Agenda item:</w:t>
      </w:r>
      <w:r w:rsidRPr="000A2E63">
        <w:rPr>
          <w:rFonts w:ascii="Times New Roman" w:eastAsia="Times New Roman" w:hAnsi="Times New Roman" w:cs="Times New Roman"/>
          <w:szCs w:val="24"/>
          <w:lang w:eastAsia="zh-CN"/>
        </w:rPr>
        <w:tab/>
        <w:t>9.</w:t>
      </w:r>
      <w:r>
        <w:rPr>
          <w:rFonts w:ascii="Times New Roman" w:eastAsia="Times New Roman" w:hAnsi="Times New Roman" w:cs="Times New Roman"/>
          <w:szCs w:val="24"/>
          <w:lang w:eastAsia="zh-CN"/>
        </w:rPr>
        <w:t>3.1.6</w:t>
      </w:r>
    </w:p>
    <w:p w14:paraId="0B8A8CA5" w14:textId="77777777" w:rsidR="007F0F72" w:rsidRPr="000A2E63" w:rsidRDefault="007F0F72" w:rsidP="007F0F72">
      <w:pPr>
        <w:tabs>
          <w:tab w:val="left" w:pos="1985"/>
        </w:tabs>
        <w:spacing w:after="120" w:line="240" w:lineRule="auto"/>
        <w:jc w:val="both"/>
        <w:rPr>
          <w:rFonts w:ascii="Times New Roman" w:eastAsia="Times New Roman" w:hAnsi="Times New Roman" w:cs="Times New Roman"/>
          <w:szCs w:val="24"/>
          <w:lang w:eastAsia="zh-CN"/>
        </w:rPr>
      </w:pPr>
      <w:r w:rsidRPr="000A2E63">
        <w:rPr>
          <w:rFonts w:ascii="Times New Roman" w:eastAsia="Times New Roman" w:hAnsi="Times New Roman" w:cs="Times New Roman"/>
          <w:b/>
          <w:sz w:val="24"/>
          <w:szCs w:val="24"/>
          <w:lang w:eastAsia="zh-CN"/>
        </w:rPr>
        <w:t>Source:</w:t>
      </w:r>
      <w:r w:rsidRPr="000A2E63">
        <w:rPr>
          <w:rFonts w:ascii="Times New Roman" w:eastAsia="Times New Roman" w:hAnsi="Times New Roman" w:cs="Times New Roman"/>
          <w:b/>
          <w:szCs w:val="24"/>
          <w:lang w:eastAsia="zh-CN"/>
        </w:rPr>
        <w:t xml:space="preserve"> </w:t>
      </w:r>
      <w:r w:rsidRPr="000A2E63">
        <w:rPr>
          <w:rFonts w:ascii="Times New Roman" w:eastAsia="Times New Roman" w:hAnsi="Times New Roman" w:cs="Times New Roman"/>
          <w:b/>
          <w:szCs w:val="24"/>
          <w:lang w:eastAsia="zh-CN"/>
        </w:rPr>
        <w:tab/>
      </w:r>
      <w:r w:rsidRPr="000A2E63">
        <w:rPr>
          <w:rFonts w:ascii="Times New Roman" w:eastAsia="Times New Roman" w:hAnsi="Times New Roman" w:cs="Times New Roman"/>
          <w:szCs w:val="24"/>
          <w:lang w:eastAsia="zh-CN"/>
        </w:rPr>
        <w:t>Qualcomm Incorporated</w:t>
      </w:r>
    </w:p>
    <w:p w14:paraId="5D425FD2" w14:textId="332FBCB3" w:rsidR="007F0F72" w:rsidRPr="000A2E63" w:rsidRDefault="007F0F72" w:rsidP="007F0F72">
      <w:pPr>
        <w:spacing w:after="120" w:line="240" w:lineRule="auto"/>
        <w:ind w:left="1988" w:hanging="1988"/>
        <w:rPr>
          <w:rFonts w:ascii="Times New Roman" w:eastAsia="Times New Roman" w:hAnsi="Times New Roman" w:cs="Times New Roman"/>
          <w:szCs w:val="24"/>
          <w:lang w:eastAsia="zh-CN"/>
        </w:rPr>
      </w:pPr>
      <w:r w:rsidRPr="000A2E63">
        <w:rPr>
          <w:rFonts w:ascii="Times New Roman" w:eastAsia="Times New Roman" w:hAnsi="Times New Roman" w:cs="Times New Roman"/>
          <w:b/>
          <w:sz w:val="24"/>
          <w:szCs w:val="24"/>
          <w:lang w:eastAsia="zh-CN"/>
        </w:rPr>
        <w:t>Title:</w:t>
      </w:r>
      <w:r w:rsidRPr="000A2E63">
        <w:rPr>
          <w:rFonts w:ascii="Times New Roman" w:eastAsia="Times New Roman" w:hAnsi="Times New Roman" w:cs="Times New Roman"/>
          <w:sz w:val="24"/>
          <w:szCs w:val="24"/>
          <w:lang w:eastAsia="zh-CN"/>
        </w:rPr>
        <w:t xml:space="preserve"> </w:t>
      </w:r>
      <w:r w:rsidRPr="000A2E63">
        <w:rPr>
          <w:rFonts w:ascii="Times New Roman" w:eastAsia="Times New Roman" w:hAnsi="Times New Roman" w:cs="Times New Roman"/>
          <w:szCs w:val="24"/>
          <w:lang w:eastAsia="zh-CN"/>
        </w:rPr>
        <w:tab/>
      </w:r>
      <w:r>
        <w:rPr>
          <w:rFonts w:ascii="Times New Roman" w:hAnsi="Times New Roman" w:cs="Times New Roman"/>
          <w:lang w:val="en-GB" w:eastAsia="zh-CN"/>
        </w:rPr>
        <w:t>NCR power control</w:t>
      </w:r>
    </w:p>
    <w:p w14:paraId="5662D8E0" w14:textId="2B491F54" w:rsidR="007F0F72" w:rsidRPr="000A2E63" w:rsidRDefault="007F0F72" w:rsidP="007F0F72">
      <w:pPr>
        <w:spacing w:after="120" w:line="240" w:lineRule="auto"/>
        <w:ind w:left="1988" w:hanging="1988"/>
        <w:rPr>
          <w:rFonts w:ascii="Times New Roman" w:eastAsia="Times New Roman" w:hAnsi="Times New Roman" w:cs="Times New Roman"/>
          <w:szCs w:val="24"/>
          <w:lang w:eastAsia="zh-CN"/>
        </w:rPr>
      </w:pPr>
      <w:r w:rsidRPr="000A2E63">
        <w:rPr>
          <w:rFonts w:ascii="Times New Roman" w:eastAsia="Times New Roman" w:hAnsi="Times New Roman" w:cs="Times New Roman"/>
          <w:b/>
          <w:sz w:val="24"/>
          <w:szCs w:val="24"/>
          <w:lang w:eastAsia="zh-CN"/>
        </w:rPr>
        <w:t>Document for:</w:t>
      </w:r>
      <w:r w:rsidRPr="000A2E63">
        <w:rPr>
          <w:rFonts w:ascii="Times New Roman" w:eastAsia="Times New Roman" w:hAnsi="Times New Roman" w:cs="Times New Roman"/>
          <w:szCs w:val="24"/>
          <w:lang w:eastAsia="zh-CN"/>
        </w:rPr>
        <w:tab/>
        <w:t>Decision</w:t>
      </w:r>
    </w:p>
    <w:bookmarkEnd w:id="0"/>
    <w:p w14:paraId="4BC3973E" w14:textId="77777777" w:rsidR="00B902D3" w:rsidRPr="00FC24E4" w:rsidRDefault="00B902D3" w:rsidP="00B902D3">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 xml:space="preserve">1 </w:t>
      </w:r>
      <w:r w:rsidRPr="00FC24E4">
        <w:rPr>
          <w:rFonts w:ascii="Arial" w:eastAsia="Dotum" w:hAnsi="Arial" w:cs="Times New Roman"/>
          <w:sz w:val="36"/>
          <w:szCs w:val="36"/>
          <w:lang w:val="en-GB" w:eastAsia="zh-CN"/>
        </w:rPr>
        <w:t>Introduction</w:t>
      </w:r>
    </w:p>
    <w:p w14:paraId="1FCAF792" w14:textId="177BEE1D" w:rsidR="00511147" w:rsidRDefault="00511147" w:rsidP="00511147">
      <w:pPr>
        <w:overflowPunct w:val="0"/>
        <w:autoSpaceDE w:val="0"/>
        <w:autoSpaceDN w:val="0"/>
        <w:adjustRightInd w:val="0"/>
        <w:spacing w:after="120" w:line="240" w:lineRule="auto"/>
        <w:textAlignment w:val="baseline"/>
        <w:rPr>
          <w:rFonts w:ascii="Arial" w:eastAsia="SimSun" w:hAnsi="Arial" w:cs="Arial"/>
          <w:sz w:val="20"/>
          <w:szCs w:val="20"/>
          <w:lang w:val="en-GB" w:eastAsia="zh-CN"/>
        </w:rPr>
      </w:pPr>
      <w:r>
        <w:rPr>
          <w:rFonts w:ascii="Arial" w:eastAsia="SimSun" w:hAnsi="Arial" w:cs="Arial"/>
          <w:sz w:val="20"/>
          <w:szCs w:val="20"/>
          <w:lang w:val="en-GB" w:eastAsia="zh-CN"/>
        </w:rPr>
        <w:t>In this contribution, we provide o</w:t>
      </w:r>
      <w:r w:rsidR="00012747">
        <w:rPr>
          <w:rFonts w:ascii="Arial" w:eastAsia="SimSun" w:hAnsi="Arial" w:cs="Arial"/>
          <w:sz w:val="20"/>
          <w:szCs w:val="20"/>
          <w:lang w:val="en-GB" w:eastAsia="zh-CN"/>
        </w:rPr>
        <w:t>u</w:t>
      </w:r>
      <w:r>
        <w:rPr>
          <w:rFonts w:ascii="Arial" w:eastAsia="SimSun" w:hAnsi="Arial" w:cs="Arial"/>
          <w:sz w:val="20"/>
          <w:szCs w:val="20"/>
          <w:lang w:val="en-GB" w:eastAsia="zh-CN"/>
        </w:rPr>
        <w:t>r views on NCR’s power control as noted by NCR WID:</w:t>
      </w:r>
    </w:p>
    <w:p w14:paraId="48884EFD" w14:textId="77777777" w:rsidR="00511147" w:rsidRDefault="00511147" w:rsidP="00511147">
      <w:pPr>
        <w:pStyle w:val="ListParagraph"/>
        <w:numPr>
          <w:ilvl w:val="0"/>
          <w:numId w:val="1"/>
        </w:numPr>
        <w:overflowPunct w:val="0"/>
        <w:autoSpaceDE w:val="0"/>
        <w:autoSpaceDN w:val="0"/>
        <w:adjustRightInd w:val="0"/>
        <w:spacing w:after="120" w:line="240" w:lineRule="auto"/>
        <w:jc w:val="both"/>
        <w:textAlignment w:val="baseline"/>
        <w:rPr>
          <w:rFonts w:eastAsia="SimSun" w:cs="Arial"/>
          <w:i/>
          <w:szCs w:val="20"/>
          <w:lang w:val="en-GB" w:eastAsia="zh-CN"/>
        </w:rPr>
      </w:pPr>
      <w:r>
        <w:rPr>
          <w:rFonts w:eastAsia="SimSun" w:cs="Arial"/>
          <w:i/>
          <w:szCs w:val="20"/>
          <w:lang w:val="en-GB" w:eastAsia="zh-CN"/>
        </w:rPr>
        <w:t>Note: Power control aspect will be checked in RAN#98e.</w:t>
      </w:r>
    </w:p>
    <w:p w14:paraId="3E4CE0DD" w14:textId="0202351F" w:rsidR="00511147" w:rsidRDefault="00511147"/>
    <w:p w14:paraId="7CC02EA5" w14:textId="015EA187" w:rsidR="0029419C" w:rsidRPr="00FC24E4" w:rsidRDefault="0029419C" w:rsidP="0029419C">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2 Discussion</w:t>
      </w:r>
    </w:p>
    <w:p w14:paraId="5628A189" w14:textId="6D301CC3" w:rsidR="00A40715" w:rsidRDefault="00A40715" w:rsidP="00A40715">
      <w:r>
        <w:t xml:space="preserve">We note that the TX power of a repeater is subject to (a) a max output TX power, and (b) a max amplification gain. That is, without any side control from the </w:t>
      </w:r>
      <w:proofErr w:type="spellStart"/>
      <w:r>
        <w:t>gNB</w:t>
      </w:r>
      <w:proofErr w:type="spellEnd"/>
      <w:r>
        <w:t>, NCR-</w:t>
      </w:r>
      <w:proofErr w:type="spellStart"/>
      <w:r>
        <w:t>Fwd</w:t>
      </w:r>
      <w:proofErr w:type="spellEnd"/>
      <w:r>
        <w:t xml:space="preserve"> may attempt to </w:t>
      </w:r>
      <w:r w:rsidR="004871BE">
        <w:t xml:space="preserve">autonomously </w:t>
      </w:r>
      <w:r>
        <w:t>set</w:t>
      </w:r>
      <w:r w:rsidR="004871BE">
        <w:t>/adjust</w:t>
      </w:r>
      <w:r>
        <w:t xml:space="preserve"> its output power as follows (also in </w:t>
      </w:r>
      <w:r>
        <w:fldChar w:fldCharType="begin"/>
      </w:r>
      <w:r>
        <w:instrText xml:space="preserve"> REF _Ref110857907 \h </w:instrText>
      </w:r>
      <w:r>
        <w:fldChar w:fldCharType="separate"/>
      </w:r>
      <w:r w:rsidR="004F2794">
        <w:t xml:space="preserve">Figure </w:t>
      </w:r>
      <w:r w:rsidR="004F2794">
        <w:rPr>
          <w:noProof/>
        </w:rPr>
        <w:t>1</w:t>
      </w:r>
      <w:r>
        <w:fldChar w:fldCharType="end"/>
      </w:r>
      <w:r>
        <w:t>),</w:t>
      </w:r>
    </w:p>
    <w:p w14:paraId="6FC9F9A8" w14:textId="77777777" w:rsidR="00A40715" w:rsidRDefault="00B85122" w:rsidP="00A40715">
      <w:pPr>
        <w:jc w:val="center"/>
      </w:pPr>
      <m:oMath>
        <m:sSubSup>
          <m:sSubSupPr>
            <m:ctrlPr>
              <w:rPr>
                <w:rFonts w:ascii="Cambria Math" w:eastAsiaTheme="minorEastAsia" w:hAnsi="Cambria Math"/>
                <w:b/>
                <w:bCs/>
                <w:i/>
                <w:iCs/>
                <w:color w:val="000000"/>
                <w:kern w:val="24"/>
                <w:sz w:val="24"/>
                <w:szCs w:val="24"/>
              </w:rPr>
            </m:ctrlPr>
          </m:sSubSupPr>
          <m:e>
            <m:r>
              <m:rPr>
                <m:sty m:val="bi"/>
              </m:rPr>
              <w:rPr>
                <w:rFonts w:ascii="Cambria Math" w:eastAsiaTheme="minorEastAsia" w:hAnsi="Cambria Math"/>
                <w:color w:val="000000"/>
                <w:kern w:val="24"/>
              </w:rPr>
              <m:t>P</m:t>
            </m:r>
          </m:e>
          <m:sub>
            <m:r>
              <m:rPr>
                <m:sty m:val="bi"/>
              </m:rPr>
              <w:rPr>
                <w:rFonts w:ascii="Cambria Math" w:eastAsiaTheme="minorEastAsia" w:hAnsi="Cambria Math"/>
                <w:color w:val="000000"/>
                <w:kern w:val="24"/>
              </w:rPr>
              <m:t>output</m:t>
            </m:r>
          </m:sub>
          <m:sup>
            <m:r>
              <m:rPr>
                <m:sty m:val="bi"/>
              </m:rPr>
              <w:rPr>
                <w:rFonts w:ascii="Cambria Math" w:eastAsiaTheme="minorEastAsia" w:hAnsi="Cambria Math"/>
                <w:color w:val="000000"/>
                <w:kern w:val="24"/>
              </w:rPr>
              <m:t>NCR</m:t>
            </m:r>
          </m:sup>
        </m:sSubSup>
        <m:r>
          <m:rPr>
            <m:sty m:val="bi"/>
          </m:rPr>
          <w:rPr>
            <w:rFonts w:ascii="Cambria Math" w:eastAsiaTheme="minorEastAsia" w:hAnsi="Cambria Math"/>
            <w:color w:val="000000"/>
            <w:kern w:val="24"/>
          </w:rPr>
          <m:t>=</m:t>
        </m:r>
        <m:func>
          <m:funcPr>
            <m:ctrlPr>
              <w:rPr>
                <w:rFonts w:ascii="Cambria Math" w:eastAsiaTheme="minorEastAsia" w:hAnsi="Cambria Math"/>
                <w:b/>
                <w:bCs/>
                <w:i/>
                <w:iCs/>
                <w:color w:val="000000"/>
                <w:kern w:val="24"/>
                <w:sz w:val="24"/>
                <w:szCs w:val="24"/>
              </w:rPr>
            </m:ctrlPr>
          </m:funcPr>
          <m:fName>
            <m:r>
              <m:rPr>
                <m:sty m:val="b"/>
              </m:rPr>
              <w:rPr>
                <w:rFonts w:ascii="Cambria Math" w:eastAsiaTheme="minorEastAsia" w:hAnsi="Cambria Math"/>
                <w:color w:val="000000"/>
                <w:kern w:val="24"/>
              </w:rPr>
              <m:t>min</m:t>
            </m:r>
          </m:fName>
          <m:e>
            <m:d>
              <m:dPr>
                <m:ctrlPr>
                  <w:rPr>
                    <w:rFonts w:ascii="Cambria Math" w:eastAsiaTheme="minorEastAsia" w:hAnsi="Cambria Math"/>
                    <w:b/>
                    <w:bCs/>
                    <w:i/>
                    <w:iCs/>
                    <w:color w:val="000000"/>
                    <w:kern w:val="24"/>
                    <w:sz w:val="24"/>
                    <w:szCs w:val="24"/>
                  </w:rPr>
                </m:ctrlPr>
              </m:dPr>
              <m:e>
                <m:sSubSup>
                  <m:sSubSupPr>
                    <m:ctrlPr>
                      <w:rPr>
                        <w:rFonts w:ascii="Cambria Math" w:eastAsiaTheme="minorEastAsia" w:hAnsi="Cambria Math"/>
                        <w:b/>
                        <w:bCs/>
                        <w:i/>
                        <w:iCs/>
                        <w:color w:val="000000"/>
                        <w:kern w:val="24"/>
                        <w:sz w:val="24"/>
                        <w:szCs w:val="24"/>
                      </w:rPr>
                    </m:ctrlPr>
                  </m:sSubSupPr>
                  <m:e>
                    <m:r>
                      <m:rPr>
                        <m:sty m:val="bi"/>
                      </m:rPr>
                      <w:rPr>
                        <w:rFonts w:ascii="Cambria Math" w:eastAsiaTheme="minorEastAsia" w:hAnsi="Cambria Math"/>
                        <w:color w:val="000000"/>
                        <w:kern w:val="24"/>
                      </w:rPr>
                      <m:t>P</m:t>
                    </m:r>
                  </m:e>
                  <m:sub>
                    <m:r>
                      <m:rPr>
                        <m:sty m:val="bi"/>
                      </m:rPr>
                      <w:rPr>
                        <w:rFonts w:ascii="Cambria Math" w:eastAsiaTheme="minorEastAsia" w:hAnsi="Cambria Math"/>
                        <w:color w:val="000000"/>
                        <w:kern w:val="24"/>
                      </w:rPr>
                      <m:t>TXmax</m:t>
                    </m:r>
                  </m:sub>
                  <m:sup>
                    <m:r>
                      <m:rPr>
                        <m:sty m:val="bi"/>
                      </m:rPr>
                      <w:rPr>
                        <w:rFonts w:ascii="Cambria Math" w:eastAsiaTheme="minorEastAsia" w:hAnsi="Cambria Math"/>
                        <w:color w:val="000000"/>
                        <w:kern w:val="24"/>
                      </w:rPr>
                      <m:t>NCR</m:t>
                    </m:r>
                  </m:sup>
                </m:sSubSup>
                <m:r>
                  <m:rPr>
                    <m:sty m:val="bi"/>
                  </m:rPr>
                  <w:rPr>
                    <w:rFonts w:ascii="Cambria Math" w:eastAsiaTheme="minorEastAsia" w:hAnsi="Cambria Math"/>
                    <w:color w:val="000000"/>
                    <w:kern w:val="24"/>
                  </w:rPr>
                  <m:t>,</m:t>
                </m:r>
                <m:sSub>
                  <m:sSubPr>
                    <m:ctrlPr>
                      <w:rPr>
                        <w:rFonts w:ascii="Cambria Math" w:eastAsiaTheme="minorEastAsia" w:hAnsi="Cambria Math"/>
                        <w:b/>
                        <w:bCs/>
                        <w:i/>
                        <w:iCs/>
                        <w:color w:val="000000"/>
                        <w:kern w:val="24"/>
                        <w:sz w:val="24"/>
                        <w:szCs w:val="24"/>
                      </w:rPr>
                    </m:ctrlPr>
                  </m:sSubPr>
                  <m:e>
                    <m:r>
                      <m:rPr>
                        <m:sty m:val="bi"/>
                      </m:rPr>
                      <w:rPr>
                        <w:rFonts w:ascii="Cambria Math" w:eastAsiaTheme="minorEastAsia" w:hAnsi="Cambria Math"/>
                        <w:color w:val="000000"/>
                        <w:kern w:val="24"/>
                      </w:rPr>
                      <m:t>G</m:t>
                    </m:r>
                  </m:e>
                  <m:sub>
                    <m:r>
                      <m:rPr>
                        <m:sty m:val="bi"/>
                      </m:rPr>
                      <w:rPr>
                        <w:rFonts w:ascii="Cambria Math" w:eastAsiaTheme="minorEastAsia" w:hAnsi="Cambria Math"/>
                        <w:color w:val="000000"/>
                        <w:kern w:val="24"/>
                      </w:rPr>
                      <m:t>max</m:t>
                    </m:r>
                  </m:sub>
                </m:sSub>
                <m:r>
                  <m:rPr>
                    <m:sty m:val="bi"/>
                  </m:rPr>
                  <w:rPr>
                    <w:rFonts w:ascii="Cambria Math" w:eastAsiaTheme="minorEastAsia" w:hAnsi="Cambria Math"/>
                    <w:color w:val="000000"/>
                    <w:kern w:val="24"/>
                  </w:rPr>
                  <m:t>.</m:t>
                </m:r>
                <m:sSubSup>
                  <m:sSubSupPr>
                    <m:ctrlPr>
                      <w:rPr>
                        <w:rFonts w:ascii="Cambria Math" w:eastAsiaTheme="minorEastAsia" w:hAnsi="Cambria Math"/>
                        <w:b/>
                        <w:bCs/>
                        <w:i/>
                        <w:iCs/>
                        <w:color w:val="000000"/>
                        <w:kern w:val="24"/>
                        <w:sz w:val="24"/>
                        <w:szCs w:val="24"/>
                      </w:rPr>
                    </m:ctrlPr>
                  </m:sSubSupPr>
                  <m:e>
                    <m:r>
                      <m:rPr>
                        <m:sty m:val="bi"/>
                      </m:rPr>
                      <w:rPr>
                        <w:rFonts w:ascii="Cambria Math" w:eastAsiaTheme="minorEastAsia" w:hAnsi="Cambria Math"/>
                        <w:color w:val="000000"/>
                        <w:kern w:val="24"/>
                      </w:rPr>
                      <m:t>P</m:t>
                    </m:r>
                  </m:e>
                  <m:sub>
                    <m:r>
                      <m:rPr>
                        <m:sty m:val="bi"/>
                      </m:rPr>
                      <w:rPr>
                        <w:rFonts w:ascii="Cambria Math" w:eastAsiaTheme="minorEastAsia" w:hAnsi="Cambria Math"/>
                        <w:color w:val="000000"/>
                        <w:kern w:val="24"/>
                      </w:rPr>
                      <m:t>input</m:t>
                    </m:r>
                  </m:sub>
                  <m:sup>
                    <m:r>
                      <m:rPr>
                        <m:sty m:val="bi"/>
                      </m:rPr>
                      <w:rPr>
                        <w:rFonts w:ascii="Cambria Math" w:eastAsiaTheme="minorEastAsia" w:hAnsi="Cambria Math"/>
                        <w:color w:val="000000"/>
                        <w:kern w:val="24"/>
                      </w:rPr>
                      <m:t>NCR</m:t>
                    </m:r>
                  </m:sup>
                </m:sSubSup>
              </m:e>
            </m:d>
          </m:e>
        </m:func>
      </m:oMath>
      <w:r w:rsidR="00A40715">
        <w:rPr>
          <w:rFonts w:eastAsiaTheme="minorEastAsia"/>
          <w:b/>
          <w:bCs/>
          <w:iCs/>
          <w:color w:val="000000"/>
          <w:kern w:val="24"/>
          <w:sz w:val="24"/>
          <w:szCs w:val="24"/>
        </w:rPr>
        <w:t xml:space="preserve">   </w:t>
      </w:r>
      <w:r w:rsidR="00A40715">
        <w:rPr>
          <w:rFonts w:eastAsiaTheme="minorEastAsia"/>
          <w:b/>
          <w:bCs/>
          <w:iCs/>
          <w:color w:val="000000"/>
          <w:kern w:val="24"/>
          <w:sz w:val="24"/>
          <w:szCs w:val="24"/>
        </w:rPr>
        <w:tab/>
      </w:r>
      <w:r w:rsidR="00A40715">
        <w:rPr>
          <w:rFonts w:eastAsiaTheme="minorEastAsia"/>
          <w:b/>
          <w:bCs/>
          <w:iCs/>
          <w:color w:val="000000"/>
          <w:kern w:val="24"/>
          <w:szCs w:val="24"/>
        </w:rPr>
        <w:t>(1)</w:t>
      </w:r>
    </w:p>
    <w:p w14:paraId="327B89A9" w14:textId="77777777" w:rsidR="00A40715" w:rsidRDefault="00A40715" w:rsidP="00A40715">
      <w:pPr>
        <w:keepNext/>
        <w:jc w:val="center"/>
      </w:pPr>
      <w:r>
        <w:rPr>
          <w:noProof/>
        </w:rPr>
        <w:drawing>
          <wp:inline distT="0" distB="0" distL="0" distR="0" wp14:anchorId="2C3C6DB8" wp14:editId="2549EE28">
            <wp:extent cx="2847975" cy="1666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7975" cy="1666875"/>
                    </a:xfrm>
                    <a:prstGeom prst="rect">
                      <a:avLst/>
                    </a:prstGeom>
                    <a:noFill/>
                    <a:ln>
                      <a:noFill/>
                    </a:ln>
                  </pic:spPr>
                </pic:pic>
              </a:graphicData>
            </a:graphic>
          </wp:inline>
        </w:drawing>
      </w:r>
    </w:p>
    <w:p w14:paraId="485CD3F6" w14:textId="6E1CBD24" w:rsidR="00A40715" w:rsidRDefault="00A40715" w:rsidP="00A40715">
      <w:pPr>
        <w:pStyle w:val="Caption"/>
        <w:jc w:val="center"/>
      </w:pPr>
      <w:bookmarkStart w:id="1" w:name="_Ref110857907"/>
      <w:r>
        <w:t xml:space="preserve">Figure </w:t>
      </w:r>
      <w:fldSimple w:instr=" SEQ Figure \* ARABIC ">
        <w:r w:rsidR="004F2794">
          <w:rPr>
            <w:noProof/>
          </w:rPr>
          <w:t>1</w:t>
        </w:r>
      </w:fldSimple>
      <w:bookmarkEnd w:id="1"/>
      <w:r>
        <w:t xml:space="preserve"> NCR output power (gain-limited vs TX power-limited regions)</w:t>
      </w:r>
    </w:p>
    <w:p w14:paraId="30E3C8E5" w14:textId="77777777" w:rsidR="0029419C" w:rsidRDefault="0029419C"/>
    <w:p w14:paraId="28511C0E" w14:textId="77777777" w:rsidR="00C303D8" w:rsidRDefault="00C303D8" w:rsidP="00C303D8">
      <w:r>
        <w:t>NCR’s power control may have different use-cases:</w:t>
      </w:r>
    </w:p>
    <w:p w14:paraId="4AAE0ED1" w14:textId="77777777" w:rsidR="00C303D8" w:rsidRDefault="00C303D8" w:rsidP="00C303D8">
      <w:pPr>
        <w:pStyle w:val="ListParagraph"/>
        <w:numPr>
          <w:ilvl w:val="0"/>
          <w:numId w:val="2"/>
        </w:numPr>
        <w:spacing w:line="256" w:lineRule="auto"/>
        <w:ind w:left="630"/>
      </w:pPr>
      <w:r>
        <w:t>EPRE control (e.g., to maintain constant TX power for SSB/CSI-RS)</w:t>
      </w:r>
    </w:p>
    <w:p w14:paraId="127B3794" w14:textId="77777777" w:rsidR="00C303D8" w:rsidRDefault="00C303D8" w:rsidP="00C303D8">
      <w:pPr>
        <w:pStyle w:val="ListParagraph"/>
        <w:numPr>
          <w:ilvl w:val="0"/>
          <w:numId w:val="2"/>
        </w:numPr>
        <w:spacing w:line="256" w:lineRule="auto"/>
        <w:ind w:left="630"/>
      </w:pPr>
      <w:r>
        <w:t>Interference management</w:t>
      </w:r>
    </w:p>
    <w:p w14:paraId="1C0FDF77" w14:textId="77777777" w:rsidR="00C303D8" w:rsidRDefault="00C303D8" w:rsidP="00C303D8">
      <w:pPr>
        <w:pStyle w:val="ListParagraph"/>
        <w:numPr>
          <w:ilvl w:val="0"/>
          <w:numId w:val="2"/>
        </w:numPr>
        <w:spacing w:line="256" w:lineRule="auto"/>
        <w:ind w:left="630"/>
      </w:pPr>
      <w:r>
        <w:t xml:space="preserve">Proper and timely gain control to avoid NCR’s PA saturation. </w:t>
      </w:r>
    </w:p>
    <w:p w14:paraId="21F808DB" w14:textId="77777777" w:rsidR="00C303D8" w:rsidRDefault="00C303D8" w:rsidP="00C303D8">
      <w:pPr>
        <w:pStyle w:val="ListParagraph"/>
        <w:numPr>
          <w:ilvl w:val="0"/>
          <w:numId w:val="2"/>
        </w:numPr>
        <w:spacing w:line="256" w:lineRule="auto"/>
        <w:ind w:left="630"/>
      </w:pPr>
      <w:r>
        <w:t>Proper UL TX power control between NCR-MT and NCR-</w:t>
      </w:r>
      <w:proofErr w:type="spellStart"/>
      <w:r>
        <w:t>Fwd</w:t>
      </w:r>
      <w:proofErr w:type="spellEnd"/>
      <w:r>
        <w:t>, when supporting simultaneous (FDM) communication of NCR-MT and NCR-</w:t>
      </w:r>
      <w:proofErr w:type="spellStart"/>
      <w:r>
        <w:t>Fwd</w:t>
      </w:r>
      <w:proofErr w:type="spellEnd"/>
      <w:r>
        <w:t xml:space="preserve"> in UL. </w:t>
      </w:r>
    </w:p>
    <w:p w14:paraId="43787188" w14:textId="77777777" w:rsidR="00C303D8" w:rsidRDefault="00C303D8" w:rsidP="00C303D8">
      <w:pPr>
        <w:pStyle w:val="ListParagraph"/>
        <w:numPr>
          <w:ilvl w:val="1"/>
          <w:numId w:val="2"/>
        </w:numPr>
        <w:spacing w:line="256" w:lineRule="auto"/>
      </w:pPr>
      <w:r>
        <w:t xml:space="preserve">In such cases, proper power control may be needed to address power sharing and/or any power mismatch between the two </w:t>
      </w:r>
      <w:proofErr w:type="spellStart"/>
      <w:r>
        <w:t>FDMed</w:t>
      </w:r>
      <w:proofErr w:type="spellEnd"/>
      <w:r>
        <w:t xml:space="preserve"> signals.</w:t>
      </w:r>
    </w:p>
    <w:p w14:paraId="7EA83C2E" w14:textId="77777777" w:rsidR="00C303D8" w:rsidRDefault="00C303D8" w:rsidP="00C303D8">
      <w:pPr>
        <w:pStyle w:val="ListParagraph"/>
        <w:numPr>
          <w:ilvl w:val="0"/>
          <w:numId w:val="2"/>
        </w:numPr>
        <w:spacing w:line="256" w:lineRule="auto"/>
        <w:ind w:left="630"/>
      </w:pPr>
      <w:r>
        <w:lastRenderedPageBreak/>
        <w:t xml:space="preserve">Power saving at the NCR, UE, and/or </w:t>
      </w:r>
      <w:proofErr w:type="spellStart"/>
      <w:r>
        <w:t>gNB</w:t>
      </w:r>
      <w:proofErr w:type="spellEnd"/>
      <w:r>
        <w:t>.</w:t>
      </w:r>
    </w:p>
    <w:p w14:paraId="17199F62" w14:textId="77777777" w:rsidR="00C303D8" w:rsidRDefault="00C303D8" w:rsidP="00C303D8">
      <w:pPr>
        <w:pStyle w:val="ListParagraph"/>
        <w:numPr>
          <w:ilvl w:val="0"/>
          <w:numId w:val="2"/>
        </w:numPr>
        <w:spacing w:line="256" w:lineRule="auto"/>
        <w:ind w:left="630"/>
      </w:pPr>
      <w:r>
        <w:t>Avoiding NCR’s oscillation due to self-feedback loop.</w:t>
      </w:r>
    </w:p>
    <w:p w14:paraId="1CC15206" w14:textId="77777777" w:rsidR="002B00A3" w:rsidRDefault="002B00A3" w:rsidP="002B00A3"/>
    <w:p w14:paraId="1F9B4655" w14:textId="0C17A401" w:rsidR="002B00A3" w:rsidRDefault="002B00A3" w:rsidP="002B00A3">
      <w:r>
        <w:t xml:space="preserve">An autonomous power setting, i.e., following formula (1) and without side control from </w:t>
      </w:r>
      <w:proofErr w:type="spellStart"/>
      <w:r>
        <w:t>gNB</w:t>
      </w:r>
      <w:proofErr w:type="spellEnd"/>
      <w:r>
        <w:t>, ha</w:t>
      </w:r>
      <w:r w:rsidR="00075060">
        <w:t>s</w:t>
      </w:r>
      <w:r>
        <w:t xml:space="preserve"> implications</w:t>
      </w:r>
      <w:r w:rsidR="00075060">
        <w:t>, some of them are discussed below.</w:t>
      </w:r>
    </w:p>
    <w:p w14:paraId="2861FF0B" w14:textId="6113891F" w:rsidR="002B00A3" w:rsidRDefault="002B00A3" w:rsidP="002B00A3"/>
    <w:p w14:paraId="67876B2C" w14:textId="77777777" w:rsidR="00B41651" w:rsidRDefault="00B41651" w:rsidP="00B41651">
      <w:pPr>
        <w:rPr>
          <w:b/>
        </w:rPr>
      </w:pPr>
      <w:r>
        <w:rPr>
          <w:b/>
        </w:rPr>
        <w:t>(1) EPRE control</w:t>
      </w:r>
    </w:p>
    <w:p w14:paraId="6675B38A" w14:textId="2871E896" w:rsidR="00AD7FF5" w:rsidRDefault="00AD7FF5" w:rsidP="00B41651">
      <w:r>
        <w:t xml:space="preserve">Without side control from </w:t>
      </w:r>
      <w:r w:rsidR="00301AC8">
        <w:t xml:space="preserve">the </w:t>
      </w:r>
      <w:proofErr w:type="spellStart"/>
      <w:r>
        <w:t>gNB</w:t>
      </w:r>
      <w:proofErr w:type="spellEnd"/>
      <w:r>
        <w:t xml:space="preserve"> (and trans</w:t>
      </w:r>
      <w:r w:rsidR="00301AC8">
        <w:t xml:space="preserve">parently to the </w:t>
      </w:r>
      <w:proofErr w:type="spellStart"/>
      <w:r w:rsidR="00301AC8">
        <w:t>gNB</w:t>
      </w:r>
      <w:proofErr w:type="spellEnd"/>
      <w:r w:rsidR="00301AC8">
        <w:t xml:space="preserve">), NCR may autonomously change its gain setting while forwarding </w:t>
      </w:r>
      <w:r w:rsidR="008739D6">
        <w:t>DL reference signals (like SSB, CSI-RS)</w:t>
      </w:r>
      <w:r w:rsidR="0024291B">
        <w:t xml:space="preserve">. This, in turn, will change the effective </w:t>
      </w:r>
      <w:r w:rsidR="00BC69A3">
        <w:t xml:space="preserve">allocated </w:t>
      </w:r>
      <w:r w:rsidR="0024291B">
        <w:t>energy per RE</w:t>
      </w:r>
      <w:r w:rsidR="00281123">
        <w:t>.</w:t>
      </w:r>
      <w:r w:rsidR="00C75FFA">
        <w:t xml:space="preserve"> </w:t>
      </w:r>
    </w:p>
    <w:p w14:paraId="28C9F417" w14:textId="2F5E34AA" w:rsidR="00CB6873" w:rsidRDefault="00CB6873" w:rsidP="00B41651">
      <w:r>
        <w:t xml:space="preserve">The NCR’s autonomous gain change </w:t>
      </w:r>
      <w:r w:rsidR="003E11C8">
        <w:t>may</w:t>
      </w:r>
      <w:r>
        <w:t xml:space="preserve"> be due to</w:t>
      </w:r>
    </w:p>
    <w:p w14:paraId="63DD000E" w14:textId="4AEF0474" w:rsidR="00D5353A" w:rsidRDefault="00D5353A" w:rsidP="00D5353A">
      <w:pPr>
        <w:pStyle w:val="ListParagraph"/>
        <w:numPr>
          <w:ilvl w:val="0"/>
          <w:numId w:val="3"/>
        </w:numPr>
      </w:pPr>
      <w:r>
        <w:t>Internal control to avoid self-oscillation</w:t>
      </w:r>
    </w:p>
    <w:p w14:paraId="6B0000C5" w14:textId="0662C725" w:rsidR="00D5353A" w:rsidRDefault="00255ED8" w:rsidP="00D5353A">
      <w:pPr>
        <w:pStyle w:val="ListParagraph"/>
        <w:numPr>
          <w:ilvl w:val="0"/>
          <w:numId w:val="3"/>
        </w:numPr>
      </w:pPr>
      <w:r>
        <w:t>Avoiding PA saturation, when the input DL power to the repeater changes</w:t>
      </w:r>
      <w:r w:rsidR="00664300">
        <w:t xml:space="preserve"> as a result of </w:t>
      </w:r>
      <w:r w:rsidR="000B14C2">
        <w:t>e.g. change in the RB allocation, or channel variations.</w:t>
      </w:r>
    </w:p>
    <w:p w14:paraId="5282EA1E" w14:textId="77777777" w:rsidR="00281123" w:rsidRDefault="00B41651" w:rsidP="003C5F09">
      <w:r>
        <w:t xml:space="preserve">For example, the total output TX power of </w:t>
      </w:r>
      <w:proofErr w:type="spellStart"/>
      <w:r>
        <w:t>gNB</w:t>
      </w:r>
      <w:proofErr w:type="spellEnd"/>
      <w:r>
        <w:t xml:space="preserve"> increase</w:t>
      </w:r>
      <w:r w:rsidR="00877CEB">
        <w:t>s</w:t>
      </w:r>
      <w:r>
        <w:t xml:space="preserve"> with the occupied BW (e.g., assuming a uniform PSD). </w:t>
      </w:r>
      <w:r w:rsidR="000B14C2">
        <w:t>NCR may</w:t>
      </w:r>
      <w:r w:rsidR="00B2643F">
        <w:t xml:space="preserve"> (and this is indeed typically the case) operate in the TX power-limited region </w:t>
      </w:r>
      <w:r w:rsidR="005E3F07">
        <w:t>when</w:t>
      </w:r>
      <w:r w:rsidR="00B2643F">
        <w:t xml:space="preserve"> </w:t>
      </w:r>
      <w:r w:rsidR="005E3F07">
        <w:t xml:space="preserve">forwarding </w:t>
      </w:r>
      <w:r w:rsidR="00B2643F">
        <w:t xml:space="preserve">DL. </w:t>
      </w:r>
      <w:r w:rsidR="003C61FF">
        <w:t>Hence, f</w:t>
      </w:r>
      <w:r>
        <w:t xml:space="preserve">or larger RB allocations, </w:t>
      </w:r>
      <w:r w:rsidR="003C61FF">
        <w:t xml:space="preserve">NCR </w:t>
      </w:r>
      <w:r>
        <w:t xml:space="preserve">needs to share a fixed (max) output power budget across </w:t>
      </w:r>
      <w:r w:rsidR="000E0F19">
        <w:t>more</w:t>
      </w:r>
      <w:r>
        <w:t xml:space="preserve"> occupied RBs. This will lead to reduced effective EPRE in DL.</w:t>
      </w:r>
    </w:p>
    <w:p w14:paraId="2D270379" w14:textId="34F4943D" w:rsidR="003C5F09" w:rsidRDefault="003C5F09" w:rsidP="003C5F09">
      <w:r>
        <w:t>Such an artificial EPRE variation</w:t>
      </w:r>
      <w:r w:rsidR="006E6CC0">
        <w:t xml:space="preserve"> (which is not due to channel variation)</w:t>
      </w:r>
      <w:r>
        <w:t xml:space="preserve"> may have impacts on the UEs’ measurements. </w:t>
      </w:r>
    </w:p>
    <w:p w14:paraId="6EF24230" w14:textId="3F4B1D19" w:rsidR="00B41651" w:rsidRDefault="00B41651" w:rsidP="00B41651"/>
    <w:p w14:paraId="041535DA" w14:textId="59599DCD" w:rsidR="0072759A" w:rsidRDefault="0072759A" w:rsidP="0072759A">
      <w:pPr>
        <w:rPr>
          <w:b/>
          <w:u w:val="single"/>
        </w:rPr>
      </w:pPr>
      <w:r>
        <w:rPr>
          <w:b/>
          <w:u w:val="single"/>
        </w:rPr>
        <w:t>Observation 1</w:t>
      </w:r>
    </w:p>
    <w:p w14:paraId="3CBFAD02" w14:textId="6AF3DB5C" w:rsidR="0072759A" w:rsidRDefault="00891AEB" w:rsidP="0072759A">
      <w:pPr>
        <w:rPr>
          <w:b/>
        </w:rPr>
      </w:pPr>
      <w:r>
        <w:rPr>
          <w:b/>
        </w:rPr>
        <w:t xml:space="preserve">NCR’s autonomous gain </w:t>
      </w:r>
      <w:r w:rsidR="009962FD">
        <w:rPr>
          <w:b/>
        </w:rPr>
        <w:t xml:space="preserve">change </w:t>
      </w:r>
      <w:r>
        <w:rPr>
          <w:b/>
        </w:rPr>
        <w:t xml:space="preserve">may lead to </w:t>
      </w:r>
      <w:r w:rsidR="009962FD">
        <w:rPr>
          <w:b/>
        </w:rPr>
        <w:t xml:space="preserve">DL EPRE </w:t>
      </w:r>
      <w:r w:rsidR="00642752">
        <w:rPr>
          <w:b/>
        </w:rPr>
        <w:t>variations</w:t>
      </w:r>
      <w:r w:rsidR="0038698A">
        <w:rPr>
          <w:b/>
        </w:rPr>
        <w:t xml:space="preserve">. </w:t>
      </w:r>
    </w:p>
    <w:p w14:paraId="2C34E3D5" w14:textId="77777777" w:rsidR="0072759A" w:rsidRDefault="0072759A" w:rsidP="00B41651"/>
    <w:p w14:paraId="74C82435" w14:textId="3B6DE72D" w:rsidR="008735B4" w:rsidRDefault="008735B4" w:rsidP="008735B4">
      <w:pPr>
        <w:rPr>
          <w:b/>
        </w:rPr>
      </w:pPr>
      <w:r>
        <w:rPr>
          <w:b/>
        </w:rPr>
        <w:t xml:space="preserve">(2) </w:t>
      </w:r>
      <w:r w:rsidR="008773A0" w:rsidRPr="008773A0">
        <w:rPr>
          <w:b/>
        </w:rPr>
        <w:t>Proper and timely gain control to avoid NCR’s PA saturation</w:t>
      </w:r>
    </w:p>
    <w:p w14:paraId="12C5D84B" w14:textId="2833473E" w:rsidR="008735B4" w:rsidRDefault="00755A95" w:rsidP="008773A0">
      <w:pPr>
        <w:spacing w:line="256" w:lineRule="auto"/>
      </w:pPr>
      <w:r>
        <w:t>As hinted above, t</w:t>
      </w:r>
      <w:r w:rsidR="008735B4">
        <w:t xml:space="preserve">here can be changes in the input power of NCR – e.g., in DL and due to different RB allocations across different slots, or changes in the beam and/or channel that may lead to changes in the RX power or PAPR of the input signal. Without prior indication, NCR’s PA may saturate (or not operate efficiently) while the NCR’s autonomous gain control converges. </w:t>
      </w:r>
    </w:p>
    <w:p w14:paraId="10AB6315" w14:textId="3762B14A" w:rsidR="00280A66" w:rsidRDefault="00280A66" w:rsidP="00280A66">
      <w:pPr>
        <w:rPr>
          <w:b/>
          <w:u w:val="single"/>
        </w:rPr>
      </w:pPr>
      <w:r>
        <w:rPr>
          <w:b/>
          <w:u w:val="single"/>
        </w:rPr>
        <w:t>Observation 2</w:t>
      </w:r>
    </w:p>
    <w:p w14:paraId="1A04E743" w14:textId="22A96A76" w:rsidR="00280A66" w:rsidRDefault="00114403" w:rsidP="00280A66">
      <w:pPr>
        <w:rPr>
          <w:b/>
        </w:rPr>
      </w:pPr>
      <w:r>
        <w:rPr>
          <w:b/>
        </w:rPr>
        <w:t xml:space="preserve">Without </w:t>
      </w:r>
      <w:proofErr w:type="spellStart"/>
      <w:r>
        <w:rPr>
          <w:b/>
        </w:rPr>
        <w:t>gNB’s</w:t>
      </w:r>
      <w:proofErr w:type="spellEnd"/>
      <w:r>
        <w:rPr>
          <w:b/>
        </w:rPr>
        <w:t xml:space="preserve"> control or indications, </w:t>
      </w:r>
      <w:r w:rsidR="00027EB8">
        <w:rPr>
          <w:b/>
        </w:rPr>
        <w:t xml:space="preserve">NCR’s PAs </w:t>
      </w:r>
      <w:r w:rsidR="00ED66D0">
        <w:rPr>
          <w:b/>
        </w:rPr>
        <w:t xml:space="preserve">may </w:t>
      </w:r>
      <w:r w:rsidR="00013803">
        <w:rPr>
          <w:b/>
        </w:rPr>
        <w:t xml:space="preserve">temporarily </w:t>
      </w:r>
      <w:r w:rsidR="00ED66D0">
        <w:rPr>
          <w:b/>
        </w:rPr>
        <w:t xml:space="preserve">saturate (or not operate efficiently) due to changes </w:t>
      </w:r>
      <w:r w:rsidR="00DD0EE5">
        <w:rPr>
          <w:b/>
        </w:rPr>
        <w:t>of</w:t>
      </w:r>
      <w:r w:rsidR="00ED66D0">
        <w:rPr>
          <w:b/>
        </w:rPr>
        <w:t xml:space="preserve"> the level of input power</w:t>
      </w:r>
      <w:r w:rsidR="004C3632">
        <w:rPr>
          <w:b/>
        </w:rPr>
        <w:t xml:space="preserve"> to NCR-Fwd. </w:t>
      </w:r>
    </w:p>
    <w:p w14:paraId="44AF43B9" w14:textId="0C3ACAE8" w:rsidR="008735B4" w:rsidRDefault="008735B4" w:rsidP="00B41651"/>
    <w:p w14:paraId="62136BB8" w14:textId="344A2F08" w:rsidR="005F7506" w:rsidRDefault="005F7506" w:rsidP="005F7506">
      <w:pPr>
        <w:rPr>
          <w:b/>
        </w:rPr>
      </w:pPr>
      <w:r>
        <w:rPr>
          <w:b/>
        </w:rPr>
        <w:t>(</w:t>
      </w:r>
      <w:r w:rsidR="00424498">
        <w:rPr>
          <w:b/>
        </w:rPr>
        <w:t>3</w:t>
      </w:r>
      <w:r>
        <w:rPr>
          <w:b/>
        </w:rPr>
        <w:t>) UL power control</w:t>
      </w:r>
    </w:p>
    <w:p w14:paraId="3F5F565F" w14:textId="6B13B07B" w:rsidR="004435A0" w:rsidRDefault="006F5F0F" w:rsidP="002B00A3">
      <w:pPr>
        <w:rPr>
          <w:rFonts w:eastAsia="Times New Roman"/>
        </w:rPr>
      </w:pPr>
      <w:r>
        <w:rPr>
          <w:rFonts w:eastAsia="Times New Roman"/>
        </w:rPr>
        <w:lastRenderedPageBreak/>
        <w:t>It was</w:t>
      </w:r>
      <w:r w:rsidR="00812DB6">
        <w:rPr>
          <w:rFonts w:eastAsia="Times New Roman"/>
        </w:rPr>
        <w:t xml:space="preserve"> suggested that UE’s UL power control is </w:t>
      </w:r>
      <w:r w:rsidR="004435A0">
        <w:rPr>
          <w:rFonts w:eastAsia="Times New Roman"/>
        </w:rPr>
        <w:t>enough</w:t>
      </w:r>
      <w:r w:rsidR="00812DB6">
        <w:rPr>
          <w:rFonts w:eastAsia="Times New Roman"/>
        </w:rPr>
        <w:t xml:space="preserve"> </w:t>
      </w:r>
      <w:r w:rsidR="00C97B46">
        <w:rPr>
          <w:rFonts w:eastAsia="Times New Roman"/>
        </w:rPr>
        <w:t xml:space="preserve">to meet a target UL </w:t>
      </w:r>
      <w:r w:rsidR="00023D5B">
        <w:rPr>
          <w:rFonts w:eastAsia="Times New Roman"/>
        </w:rPr>
        <w:t>received</w:t>
      </w:r>
      <w:r w:rsidR="00C97B46">
        <w:rPr>
          <w:rFonts w:eastAsia="Times New Roman"/>
        </w:rPr>
        <w:t xml:space="preserve"> power at the </w:t>
      </w:r>
      <w:proofErr w:type="spellStart"/>
      <w:r w:rsidR="00C97B46">
        <w:rPr>
          <w:rFonts w:eastAsia="Times New Roman"/>
        </w:rPr>
        <w:t>gNB</w:t>
      </w:r>
      <w:proofErr w:type="spellEnd"/>
      <w:r w:rsidR="00C97B46">
        <w:rPr>
          <w:rFonts w:eastAsia="Times New Roman"/>
        </w:rPr>
        <w:t xml:space="preserve">, </w:t>
      </w:r>
      <w:r w:rsidR="004435A0">
        <w:rPr>
          <w:rFonts w:eastAsia="Times New Roman"/>
        </w:rPr>
        <w:t>and there is no need to support NCR-</w:t>
      </w:r>
      <w:proofErr w:type="spellStart"/>
      <w:r w:rsidR="004435A0">
        <w:rPr>
          <w:rFonts w:eastAsia="Times New Roman"/>
        </w:rPr>
        <w:t>Fwd’s</w:t>
      </w:r>
      <w:proofErr w:type="spellEnd"/>
      <w:r w:rsidR="004435A0">
        <w:rPr>
          <w:rFonts w:eastAsia="Times New Roman"/>
        </w:rPr>
        <w:t xml:space="preserve"> UL </w:t>
      </w:r>
      <w:r w:rsidR="00853CCD">
        <w:rPr>
          <w:rFonts w:eastAsia="Times New Roman"/>
        </w:rPr>
        <w:t xml:space="preserve">power control. In what follows, we would like to clarify </w:t>
      </w:r>
      <w:r w:rsidR="00BB2C59">
        <w:rPr>
          <w:rFonts w:eastAsia="Times New Roman"/>
        </w:rPr>
        <w:t>UE’s TX power and NCR-</w:t>
      </w:r>
      <w:proofErr w:type="spellStart"/>
      <w:r w:rsidR="00BB2C59">
        <w:rPr>
          <w:rFonts w:eastAsia="Times New Roman"/>
        </w:rPr>
        <w:t>Fwd’s</w:t>
      </w:r>
      <w:proofErr w:type="spellEnd"/>
      <w:r w:rsidR="00BB2C59">
        <w:rPr>
          <w:rFonts w:eastAsia="Times New Roman"/>
        </w:rPr>
        <w:t xml:space="preserve"> UL power </w:t>
      </w:r>
      <w:r w:rsidR="00023D5B">
        <w:rPr>
          <w:rFonts w:eastAsia="Times New Roman"/>
        </w:rPr>
        <w:t xml:space="preserve">controls </w:t>
      </w:r>
      <w:r w:rsidR="00ED17E1">
        <w:rPr>
          <w:rFonts w:eastAsia="Times New Roman"/>
        </w:rPr>
        <w:t xml:space="preserve">have different impacts. </w:t>
      </w:r>
    </w:p>
    <w:p w14:paraId="17620B62" w14:textId="682E73E3" w:rsidR="00061F13" w:rsidRDefault="00061F13" w:rsidP="00061F13">
      <w:r>
        <w:t>We</w:t>
      </w:r>
      <w:r w:rsidR="005E0711">
        <w:t xml:space="preserve"> </w:t>
      </w:r>
      <w:r>
        <w:t xml:space="preserve">note that E2E effective SNR of the UE </w:t>
      </w:r>
      <w:r>
        <w:rPr>
          <w:i/>
        </w:rPr>
        <w:t>roughly</w:t>
      </w:r>
      <w:r>
        <w:t xml:space="preserve"> follows the formula below:</w:t>
      </w:r>
    </w:p>
    <w:p w14:paraId="275B5F88" w14:textId="012DD2D5" w:rsidR="00061F13" w:rsidRDefault="00061F13" w:rsidP="00061F13">
      <w:pPr>
        <w:jc w:val="center"/>
        <w:rPr>
          <w:b/>
        </w:rPr>
      </w:pPr>
      <m:oMath>
        <m:r>
          <m:rPr>
            <m:sty m:val="bi"/>
          </m:rPr>
          <w:rPr>
            <w:rFonts w:ascii="Cambria Math" w:hAnsi="Cambria Math"/>
          </w:rPr>
          <m:t>effSNR≈</m:t>
        </m:r>
        <m:f>
          <m:fPr>
            <m:ctrlPr>
              <w:rPr>
                <w:rFonts w:ascii="Cambria Math" w:hAnsi="Cambria Math"/>
                <w:b/>
                <w:i/>
                <w:iCs/>
              </w:rPr>
            </m:ctrlPr>
          </m:fPr>
          <m:num>
            <m:r>
              <m:rPr>
                <m:sty m:val="bi"/>
              </m:rPr>
              <w:rPr>
                <w:rFonts w:ascii="Cambria Math" w:hAnsi="Cambria Math"/>
              </w:rPr>
              <m:t>1</m:t>
            </m:r>
          </m:num>
          <m:den>
            <m:f>
              <m:fPr>
                <m:ctrlPr>
                  <w:rPr>
                    <w:rFonts w:ascii="Cambria Math" w:hAnsi="Cambria Math"/>
                    <w:b/>
                    <w:i/>
                    <w:iCs/>
                  </w:rPr>
                </m:ctrlPr>
              </m:fPr>
              <m:num>
                <m:r>
                  <m:rPr>
                    <m:sty m:val="bi"/>
                  </m:rPr>
                  <w:rPr>
                    <w:rFonts w:ascii="Cambria Math" w:hAnsi="Cambria Math"/>
                  </w:rPr>
                  <m:t>1</m:t>
                </m:r>
              </m:num>
              <m:den>
                <m:sSub>
                  <m:sSubPr>
                    <m:ctrlPr>
                      <w:rPr>
                        <w:rFonts w:ascii="Cambria Math" w:hAnsi="Cambria Math"/>
                        <w:b/>
                        <w:i/>
                        <w:iCs/>
                      </w:rPr>
                    </m:ctrlPr>
                  </m:sSubPr>
                  <m:e>
                    <m:r>
                      <m:rPr>
                        <m:sty m:val="bi"/>
                      </m:rPr>
                      <w:rPr>
                        <w:rFonts w:ascii="Cambria Math" w:hAnsi="Cambria Math"/>
                      </w:rPr>
                      <m:t>SNR</m:t>
                    </m:r>
                  </m:e>
                  <m:sub>
                    <m:r>
                      <m:rPr>
                        <m:sty m:val="bi"/>
                      </m:rPr>
                      <w:rPr>
                        <w:rFonts w:ascii="Cambria Math" w:hAnsi="Cambria Math"/>
                      </w:rPr>
                      <m:t>BH</m:t>
                    </m:r>
                  </m:sub>
                </m:sSub>
              </m:den>
            </m:f>
            <m:r>
              <m:rPr>
                <m:sty m:val="bi"/>
              </m:rPr>
              <w:rPr>
                <w:rFonts w:ascii="Cambria Math" w:hAnsi="Cambria Math"/>
              </w:rPr>
              <m:t>+</m:t>
            </m:r>
            <m:f>
              <m:fPr>
                <m:ctrlPr>
                  <w:rPr>
                    <w:rFonts w:ascii="Cambria Math" w:hAnsi="Cambria Math"/>
                    <w:b/>
                    <w:i/>
                    <w:iCs/>
                  </w:rPr>
                </m:ctrlPr>
              </m:fPr>
              <m:num>
                <m:r>
                  <m:rPr>
                    <m:sty m:val="bi"/>
                  </m:rPr>
                  <w:rPr>
                    <w:rFonts w:ascii="Cambria Math" w:hAnsi="Cambria Math"/>
                  </w:rPr>
                  <m:t>1</m:t>
                </m:r>
              </m:num>
              <m:den>
                <m:sSub>
                  <m:sSubPr>
                    <m:ctrlPr>
                      <w:rPr>
                        <w:rFonts w:ascii="Cambria Math" w:hAnsi="Cambria Math"/>
                        <w:b/>
                        <w:i/>
                        <w:iCs/>
                      </w:rPr>
                    </m:ctrlPr>
                  </m:sSubPr>
                  <m:e>
                    <m:r>
                      <m:rPr>
                        <m:sty m:val="bi"/>
                      </m:rPr>
                      <w:rPr>
                        <w:rFonts w:ascii="Cambria Math" w:hAnsi="Cambria Math"/>
                      </w:rPr>
                      <m:t>SNR</m:t>
                    </m:r>
                  </m:e>
                  <m:sub>
                    <m:r>
                      <m:rPr>
                        <m:sty m:val="bi"/>
                      </m:rPr>
                      <w:rPr>
                        <w:rFonts w:ascii="Cambria Math" w:hAnsi="Cambria Math"/>
                      </w:rPr>
                      <m:t>AC</m:t>
                    </m:r>
                  </m:sub>
                </m:sSub>
              </m:den>
            </m:f>
          </m:den>
        </m:f>
      </m:oMath>
      <w:r>
        <w:rPr>
          <w:rFonts w:eastAsiaTheme="minorEastAsia"/>
          <w:b/>
          <w:iCs/>
        </w:rPr>
        <w:t xml:space="preserve">  </w:t>
      </w:r>
      <w:r>
        <w:rPr>
          <w:rFonts w:eastAsiaTheme="minorEastAsia"/>
          <w:b/>
          <w:iCs/>
        </w:rPr>
        <w:tab/>
        <w:t>(2)</w:t>
      </w:r>
    </w:p>
    <w:p w14:paraId="776CAF55" w14:textId="1A20286B" w:rsidR="00061F13" w:rsidRDefault="005E0711" w:rsidP="00061F13">
      <w:pPr>
        <w:rPr>
          <w:rFonts w:eastAsiaTheme="minorEastAsia"/>
          <w:iCs/>
        </w:rPr>
      </w:pPr>
      <w:r>
        <w:t>W</w:t>
      </w:r>
      <w:r w:rsidR="00061F13">
        <w:t>e expect BH SNR (</w:t>
      </w:r>
      <m:oMath>
        <m:sSub>
          <m:sSubPr>
            <m:ctrlPr>
              <w:rPr>
                <w:rFonts w:ascii="Cambria Math" w:hAnsi="Cambria Math"/>
                <w:i/>
                <w:iCs/>
              </w:rPr>
            </m:ctrlPr>
          </m:sSubPr>
          <m:e>
            <m:r>
              <w:rPr>
                <w:rFonts w:ascii="Cambria Math" w:hAnsi="Cambria Math"/>
              </w:rPr>
              <m:t>SNR</m:t>
            </m:r>
          </m:e>
          <m:sub>
            <m:r>
              <w:rPr>
                <w:rFonts w:ascii="Cambria Math" w:hAnsi="Cambria Math"/>
              </w:rPr>
              <m:t>BH</m:t>
            </m:r>
          </m:sub>
        </m:sSub>
      </m:oMath>
      <w:r w:rsidR="00061F13">
        <w:t>) to be typically much larger than the access SNR (</w:t>
      </w:r>
      <m:oMath>
        <m:sSub>
          <m:sSubPr>
            <m:ctrlPr>
              <w:rPr>
                <w:rFonts w:ascii="Cambria Math" w:hAnsi="Cambria Math"/>
                <w:i/>
                <w:iCs/>
              </w:rPr>
            </m:ctrlPr>
          </m:sSubPr>
          <m:e>
            <m:r>
              <w:rPr>
                <w:rFonts w:ascii="Cambria Math" w:hAnsi="Cambria Math"/>
              </w:rPr>
              <m:t>SNR</m:t>
            </m:r>
          </m:e>
          <m:sub>
            <m:r>
              <w:rPr>
                <w:rFonts w:ascii="Cambria Math" w:hAnsi="Cambria Math"/>
              </w:rPr>
              <m:t>AC</m:t>
            </m:r>
          </m:sub>
        </m:sSub>
      </m:oMath>
      <w:r w:rsidR="00061F13">
        <w:t xml:space="preserve">)  -- </w:t>
      </w:r>
      <m:oMath>
        <m:r>
          <m:rPr>
            <m:sty m:val="bi"/>
          </m:rPr>
          <w:rPr>
            <w:rFonts w:ascii="Cambria Math" w:hAnsi="Cambria Math"/>
          </w:rPr>
          <m:t>SN</m:t>
        </m:r>
        <m:sSub>
          <m:sSubPr>
            <m:ctrlPr>
              <w:rPr>
                <w:rFonts w:ascii="Cambria Math" w:hAnsi="Cambria Math"/>
                <w:b/>
                <w:i/>
                <w:iCs/>
              </w:rPr>
            </m:ctrlPr>
          </m:sSubPr>
          <m:e>
            <m:r>
              <m:rPr>
                <m:sty m:val="bi"/>
              </m:rPr>
              <w:rPr>
                <w:rFonts w:ascii="Cambria Math" w:hAnsi="Cambria Math"/>
              </w:rPr>
              <m:t>R</m:t>
            </m:r>
          </m:e>
          <m:sub>
            <m:r>
              <m:rPr>
                <m:sty m:val="bi"/>
              </m:rPr>
              <w:rPr>
                <w:rFonts w:ascii="Cambria Math" w:hAnsi="Cambria Math"/>
              </w:rPr>
              <m:t>BH</m:t>
            </m:r>
          </m:sub>
        </m:sSub>
        <m:r>
          <m:rPr>
            <m:sty m:val="bi"/>
          </m:rPr>
          <w:rPr>
            <w:rFonts w:ascii="Cambria Math" w:hAnsi="Cambria Math"/>
          </w:rPr>
          <m:t>≫ SN</m:t>
        </m:r>
        <m:sSub>
          <m:sSubPr>
            <m:ctrlPr>
              <w:rPr>
                <w:rFonts w:ascii="Cambria Math" w:hAnsi="Cambria Math"/>
                <w:b/>
                <w:i/>
                <w:iCs/>
              </w:rPr>
            </m:ctrlPr>
          </m:sSubPr>
          <m:e>
            <m:r>
              <m:rPr>
                <m:sty m:val="bi"/>
              </m:rPr>
              <w:rPr>
                <w:rFonts w:ascii="Cambria Math" w:hAnsi="Cambria Math"/>
              </w:rPr>
              <m:t>R</m:t>
            </m:r>
          </m:e>
          <m:sub>
            <m:r>
              <m:rPr>
                <m:sty m:val="bi"/>
              </m:rPr>
              <w:rPr>
                <w:rFonts w:ascii="Cambria Math" w:hAnsi="Cambria Math"/>
              </w:rPr>
              <m:t>AC</m:t>
            </m:r>
          </m:sub>
        </m:sSub>
      </m:oMath>
      <w:r w:rsidR="00061F13">
        <w:rPr>
          <w:rFonts w:eastAsiaTheme="minorEastAsia"/>
          <w:b/>
          <w:iCs/>
        </w:rPr>
        <w:t xml:space="preserve"> </w:t>
      </w:r>
      <w:r w:rsidR="00061F13">
        <w:t xml:space="preserve">– e.g., due to proper placement of the repeater and more favorable BH channel conditions, and larger antenna array size of NCR compared to UE. Therefore, in many cases, </w:t>
      </w:r>
      <m:oMath>
        <m:r>
          <m:rPr>
            <m:sty m:val="bi"/>
          </m:rPr>
          <w:rPr>
            <w:rFonts w:ascii="Cambria Math" w:hAnsi="Cambria Math"/>
          </w:rPr>
          <m:t>effSNR≈SN</m:t>
        </m:r>
        <m:sSub>
          <m:sSubPr>
            <m:ctrlPr>
              <w:rPr>
                <w:rFonts w:ascii="Cambria Math" w:hAnsi="Cambria Math"/>
                <w:b/>
                <w:i/>
                <w:iCs/>
              </w:rPr>
            </m:ctrlPr>
          </m:sSubPr>
          <m:e>
            <m:r>
              <m:rPr>
                <m:sty m:val="bi"/>
              </m:rPr>
              <w:rPr>
                <w:rFonts w:ascii="Cambria Math" w:hAnsi="Cambria Math"/>
              </w:rPr>
              <m:t>R</m:t>
            </m:r>
          </m:e>
          <m:sub>
            <m:r>
              <m:rPr>
                <m:sty m:val="bi"/>
              </m:rPr>
              <w:rPr>
                <w:rFonts w:ascii="Cambria Math" w:hAnsi="Cambria Math"/>
              </w:rPr>
              <m:t>AC</m:t>
            </m:r>
          </m:sub>
        </m:sSub>
      </m:oMath>
      <w:r w:rsidR="00061F13">
        <w:rPr>
          <w:rFonts w:eastAsiaTheme="minorEastAsia"/>
          <w:iCs/>
        </w:rPr>
        <w:t>, and reducing UE’s UL TX power will proportionally reduce its access link SNR that will, in turn, lead to similar amount of reduction in the E2E SNR.</w:t>
      </w:r>
    </w:p>
    <w:p w14:paraId="15B6CBDE" w14:textId="7E392BAA" w:rsidR="00FA5123" w:rsidRDefault="00C11B25" w:rsidP="00061F13">
      <w:pPr>
        <w:rPr>
          <w:rFonts w:eastAsiaTheme="minorEastAsia"/>
          <w:iCs/>
        </w:rPr>
      </w:pPr>
      <w:r>
        <w:rPr>
          <w:rFonts w:eastAsiaTheme="minorEastAsia"/>
          <w:iCs/>
        </w:rPr>
        <w:t xml:space="preserve">Alternatively, and </w:t>
      </w:r>
      <w:r w:rsidR="00B071AF">
        <w:rPr>
          <w:rFonts w:eastAsiaTheme="minorEastAsia"/>
          <w:iCs/>
        </w:rPr>
        <w:t xml:space="preserve">if </w:t>
      </w:r>
      <w:r w:rsidR="00061F13">
        <w:rPr>
          <w:rFonts w:eastAsiaTheme="minorEastAsia"/>
          <w:iCs/>
        </w:rPr>
        <w:t xml:space="preserve">NCR’s output power (or amplification gain) </w:t>
      </w:r>
      <w:r>
        <w:rPr>
          <w:rFonts w:eastAsiaTheme="minorEastAsia"/>
          <w:iCs/>
        </w:rPr>
        <w:t xml:space="preserve">change </w:t>
      </w:r>
      <w:r w:rsidR="00061F13">
        <w:rPr>
          <w:rFonts w:eastAsiaTheme="minorEastAsia"/>
          <w:iCs/>
        </w:rPr>
        <w:t xml:space="preserve">is </w:t>
      </w:r>
      <w:r>
        <w:rPr>
          <w:rFonts w:eastAsiaTheme="minorEastAsia"/>
          <w:iCs/>
        </w:rPr>
        <w:t>supported,</w:t>
      </w:r>
      <w:r w:rsidR="00061F13">
        <w:rPr>
          <w:rFonts w:eastAsiaTheme="minorEastAsia"/>
          <w:iCs/>
        </w:rPr>
        <w:t xml:space="preserve"> </w:t>
      </w:r>
      <w:r w:rsidR="00447514">
        <w:rPr>
          <w:rFonts w:eastAsiaTheme="minorEastAsia"/>
          <w:iCs/>
        </w:rPr>
        <w:t xml:space="preserve">a </w:t>
      </w:r>
      <w:r w:rsidR="00A14743">
        <w:rPr>
          <w:rFonts w:eastAsiaTheme="minorEastAsia"/>
          <w:iCs/>
        </w:rPr>
        <w:t xml:space="preserve">target </w:t>
      </w:r>
      <w:r w:rsidR="00C372D6">
        <w:rPr>
          <w:rFonts w:eastAsiaTheme="minorEastAsia"/>
          <w:iCs/>
        </w:rPr>
        <w:t>received UL</w:t>
      </w:r>
      <w:r w:rsidR="00A14743">
        <w:rPr>
          <w:rFonts w:eastAsiaTheme="minorEastAsia"/>
          <w:iCs/>
        </w:rPr>
        <w:t xml:space="preserve"> power at the </w:t>
      </w:r>
      <w:proofErr w:type="spellStart"/>
      <w:r w:rsidR="00A14743">
        <w:rPr>
          <w:rFonts w:eastAsiaTheme="minorEastAsia"/>
          <w:iCs/>
        </w:rPr>
        <w:t>gNB</w:t>
      </w:r>
      <w:proofErr w:type="spellEnd"/>
      <w:r w:rsidR="00A14743">
        <w:rPr>
          <w:rFonts w:eastAsiaTheme="minorEastAsia"/>
          <w:iCs/>
        </w:rPr>
        <w:t xml:space="preserve"> can be met by adjusting NCR’s output power</w:t>
      </w:r>
      <w:r w:rsidR="007B0132">
        <w:rPr>
          <w:rFonts w:eastAsiaTheme="minorEastAsia"/>
          <w:iCs/>
        </w:rPr>
        <w:t xml:space="preserve">. This will reduce the BH SNR, with </w:t>
      </w:r>
      <w:r w:rsidR="0080120F">
        <w:rPr>
          <w:rFonts w:eastAsiaTheme="minorEastAsia"/>
          <w:iCs/>
        </w:rPr>
        <w:t>smaller</w:t>
      </w:r>
      <w:r w:rsidR="0079488D">
        <w:rPr>
          <w:rFonts w:eastAsiaTheme="minorEastAsia"/>
          <w:iCs/>
        </w:rPr>
        <w:t xml:space="preserve"> impact on the E2E SNR. </w:t>
      </w:r>
      <w:r w:rsidR="00283437">
        <w:rPr>
          <w:rFonts w:eastAsiaTheme="minorEastAsia"/>
          <w:iCs/>
        </w:rPr>
        <w:t xml:space="preserve">[1] provided more </w:t>
      </w:r>
      <w:r w:rsidR="004E7C41">
        <w:rPr>
          <w:rFonts w:eastAsiaTheme="minorEastAsia"/>
          <w:iCs/>
        </w:rPr>
        <w:t>analys</w:t>
      </w:r>
      <w:r w:rsidR="002D3E8E">
        <w:rPr>
          <w:rFonts w:eastAsiaTheme="minorEastAsia"/>
          <w:iCs/>
        </w:rPr>
        <w:t>e</w:t>
      </w:r>
      <w:r w:rsidR="004E7C41">
        <w:rPr>
          <w:rFonts w:eastAsiaTheme="minorEastAsia"/>
          <w:iCs/>
        </w:rPr>
        <w:t xml:space="preserve">s. </w:t>
      </w:r>
    </w:p>
    <w:p w14:paraId="1F8F424C" w14:textId="48F5A2CC" w:rsidR="00061F13" w:rsidRDefault="0088140A" w:rsidP="00061F13">
      <w:r>
        <w:rPr>
          <w:rFonts w:eastAsiaTheme="minorEastAsia"/>
          <w:iCs/>
        </w:rPr>
        <w:t>Further stud</w:t>
      </w:r>
      <w:r w:rsidR="00761A2F">
        <w:rPr>
          <w:rFonts w:eastAsiaTheme="minorEastAsia"/>
          <w:iCs/>
        </w:rPr>
        <w:t>ies</w:t>
      </w:r>
      <w:r>
        <w:rPr>
          <w:rFonts w:eastAsiaTheme="minorEastAsia"/>
          <w:iCs/>
        </w:rPr>
        <w:t xml:space="preserve"> </w:t>
      </w:r>
      <w:r w:rsidR="00761A2F">
        <w:rPr>
          <w:rFonts w:eastAsiaTheme="minorEastAsia"/>
          <w:iCs/>
        </w:rPr>
        <w:t>are</w:t>
      </w:r>
      <w:r>
        <w:rPr>
          <w:rFonts w:eastAsiaTheme="minorEastAsia"/>
          <w:iCs/>
        </w:rPr>
        <w:t xml:space="preserve"> needed </w:t>
      </w:r>
      <w:r w:rsidR="00731DC6">
        <w:rPr>
          <w:rFonts w:eastAsiaTheme="minorEastAsia"/>
          <w:iCs/>
        </w:rPr>
        <w:t xml:space="preserve">to </w:t>
      </w:r>
      <w:r w:rsidR="009D0D62">
        <w:rPr>
          <w:rFonts w:eastAsiaTheme="minorEastAsia"/>
          <w:iCs/>
        </w:rPr>
        <w:t xml:space="preserve">investigate </w:t>
      </w:r>
      <w:r w:rsidR="006D0883">
        <w:rPr>
          <w:rFonts w:eastAsiaTheme="minorEastAsia"/>
          <w:iCs/>
        </w:rPr>
        <w:t xml:space="preserve">the circumstances under which the </w:t>
      </w:r>
      <w:r w:rsidR="00F52E70">
        <w:rPr>
          <w:rFonts w:eastAsiaTheme="minorEastAsia"/>
          <w:iCs/>
        </w:rPr>
        <w:t>UL power should be adjusted</w:t>
      </w:r>
      <w:r w:rsidR="00236D82">
        <w:rPr>
          <w:rFonts w:eastAsiaTheme="minorEastAsia"/>
          <w:iCs/>
        </w:rPr>
        <w:t xml:space="preserve">, </w:t>
      </w:r>
      <w:r w:rsidR="00806ED7">
        <w:rPr>
          <w:rFonts w:eastAsiaTheme="minorEastAsia"/>
          <w:iCs/>
        </w:rPr>
        <w:t xml:space="preserve">and </w:t>
      </w:r>
      <w:r w:rsidR="007910EE">
        <w:rPr>
          <w:rFonts w:eastAsiaTheme="minorEastAsia"/>
          <w:iCs/>
        </w:rPr>
        <w:t xml:space="preserve">to understand </w:t>
      </w:r>
      <w:r w:rsidR="009D0D62">
        <w:rPr>
          <w:rFonts w:eastAsiaTheme="minorEastAsia"/>
          <w:iCs/>
        </w:rPr>
        <w:t>the trade-offs between UE’s UL power and NCR-</w:t>
      </w:r>
      <w:proofErr w:type="spellStart"/>
      <w:r w:rsidR="009D0D62">
        <w:rPr>
          <w:rFonts w:eastAsiaTheme="minorEastAsia"/>
          <w:iCs/>
        </w:rPr>
        <w:t>Fwd’s</w:t>
      </w:r>
      <w:proofErr w:type="spellEnd"/>
      <w:r w:rsidR="009D0D62">
        <w:rPr>
          <w:rFonts w:eastAsiaTheme="minorEastAsia"/>
          <w:iCs/>
        </w:rPr>
        <w:t xml:space="preserve"> power/gain adjustments</w:t>
      </w:r>
      <w:r w:rsidR="00337430">
        <w:rPr>
          <w:rFonts w:eastAsiaTheme="minorEastAsia"/>
          <w:iCs/>
        </w:rPr>
        <w:t>.</w:t>
      </w:r>
      <w:r w:rsidR="00803DE7">
        <w:rPr>
          <w:rFonts w:eastAsiaTheme="minorEastAsia"/>
          <w:iCs/>
        </w:rPr>
        <w:t xml:space="preserve"> For example, </w:t>
      </w:r>
      <w:r w:rsidR="00D753DF">
        <w:rPr>
          <w:rFonts w:eastAsiaTheme="minorEastAsia"/>
          <w:iCs/>
        </w:rPr>
        <w:t>in some case</w:t>
      </w:r>
      <w:r w:rsidR="00780FA9">
        <w:rPr>
          <w:rFonts w:eastAsiaTheme="minorEastAsia"/>
          <w:iCs/>
        </w:rPr>
        <w:t>s</w:t>
      </w:r>
      <w:r w:rsidR="00D753DF">
        <w:rPr>
          <w:rFonts w:eastAsiaTheme="minorEastAsia"/>
          <w:iCs/>
        </w:rPr>
        <w:t xml:space="preserve">, it may still be desirable to </w:t>
      </w:r>
      <w:r w:rsidR="008468F4">
        <w:rPr>
          <w:rFonts w:eastAsiaTheme="minorEastAsia"/>
          <w:iCs/>
        </w:rPr>
        <w:t xml:space="preserve">adjust UE’s </w:t>
      </w:r>
      <w:r w:rsidR="009D03C0">
        <w:rPr>
          <w:rFonts w:eastAsiaTheme="minorEastAsia"/>
          <w:iCs/>
        </w:rPr>
        <w:t xml:space="preserve">UL TX </w:t>
      </w:r>
      <w:r w:rsidR="008468F4">
        <w:rPr>
          <w:rFonts w:eastAsiaTheme="minorEastAsia"/>
          <w:iCs/>
        </w:rPr>
        <w:t>power</w:t>
      </w:r>
      <w:r w:rsidR="009D03C0">
        <w:rPr>
          <w:rFonts w:eastAsiaTheme="minorEastAsia"/>
          <w:iCs/>
        </w:rPr>
        <w:t>,</w:t>
      </w:r>
      <w:r w:rsidR="008468F4">
        <w:rPr>
          <w:rFonts w:eastAsiaTheme="minorEastAsia"/>
          <w:iCs/>
        </w:rPr>
        <w:t xml:space="preserve"> </w:t>
      </w:r>
      <w:r w:rsidR="004B2160">
        <w:rPr>
          <w:rFonts w:eastAsiaTheme="minorEastAsia"/>
          <w:iCs/>
        </w:rPr>
        <w:t xml:space="preserve">for UE power saving purposes and/or due to interference caused directly by the </w:t>
      </w:r>
      <w:r w:rsidR="00F4582C">
        <w:rPr>
          <w:rFonts w:eastAsiaTheme="minorEastAsia"/>
          <w:iCs/>
        </w:rPr>
        <w:t>UE.</w:t>
      </w:r>
      <w:r w:rsidR="00407C6A">
        <w:rPr>
          <w:rFonts w:eastAsiaTheme="minorEastAsia"/>
          <w:iCs/>
        </w:rPr>
        <w:t xml:space="preserve"> </w:t>
      </w:r>
      <w:r w:rsidR="00337430">
        <w:rPr>
          <w:rFonts w:eastAsiaTheme="minorEastAsia"/>
          <w:iCs/>
        </w:rPr>
        <w:t xml:space="preserve"> </w:t>
      </w:r>
    </w:p>
    <w:p w14:paraId="1EE02116" w14:textId="77777777" w:rsidR="00061F13" w:rsidRDefault="00061F13" w:rsidP="002B00A3">
      <w:pPr>
        <w:rPr>
          <w:rFonts w:eastAsia="Times New Roman"/>
        </w:rPr>
      </w:pPr>
    </w:p>
    <w:p w14:paraId="08B07295" w14:textId="3E51CFE1" w:rsidR="00E01CB4" w:rsidRDefault="00E01CB4" w:rsidP="00E01CB4">
      <w:pPr>
        <w:rPr>
          <w:b/>
          <w:u w:val="single"/>
        </w:rPr>
      </w:pPr>
      <w:r>
        <w:rPr>
          <w:b/>
          <w:u w:val="single"/>
        </w:rPr>
        <w:t>Observation 3</w:t>
      </w:r>
    </w:p>
    <w:p w14:paraId="4FD18B03" w14:textId="7A1BF8CB" w:rsidR="00E01CB4" w:rsidRDefault="00E01CB4" w:rsidP="00E01CB4">
      <w:pPr>
        <w:rPr>
          <w:b/>
        </w:rPr>
      </w:pPr>
      <w:r>
        <w:rPr>
          <w:b/>
        </w:rPr>
        <w:t xml:space="preserve">For UL power control and to achieve a desired adjustment in UL RX power at the </w:t>
      </w:r>
      <w:proofErr w:type="spellStart"/>
      <w:r>
        <w:rPr>
          <w:b/>
        </w:rPr>
        <w:t>gNB</w:t>
      </w:r>
      <w:proofErr w:type="spellEnd"/>
      <w:r>
        <w:rPr>
          <w:b/>
        </w:rPr>
        <w:t>, changing UE’s UL TX power lead</w:t>
      </w:r>
      <w:r w:rsidR="00F9691E">
        <w:rPr>
          <w:b/>
        </w:rPr>
        <w:t>s</w:t>
      </w:r>
      <w:r>
        <w:rPr>
          <w:b/>
        </w:rPr>
        <w:t xml:space="preserve"> to a degradation of UE’s end-to-end SNR and throughput. Alternatively, changing NCR’s output power can achieve the desired adjustment </w:t>
      </w:r>
      <w:r w:rsidR="005118FF">
        <w:rPr>
          <w:b/>
        </w:rPr>
        <w:t>with</w:t>
      </w:r>
      <w:r>
        <w:rPr>
          <w:b/>
        </w:rPr>
        <w:t xml:space="preserve"> lower impact on the end-to-end SNR. </w:t>
      </w:r>
    </w:p>
    <w:p w14:paraId="47AC4750" w14:textId="3311A167" w:rsidR="00540FC4" w:rsidRPr="00893553" w:rsidRDefault="00305355" w:rsidP="00893553">
      <w:pPr>
        <w:pStyle w:val="ListParagraph"/>
        <w:numPr>
          <w:ilvl w:val="0"/>
          <w:numId w:val="5"/>
        </w:numPr>
        <w:rPr>
          <w:b/>
        </w:rPr>
      </w:pPr>
      <w:r w:rsidRPr="00893553">
        <w:rPr>
          <w:b/>
        </w:rPr>
        <w:t>Further stud</w:t>
      </w:r>
      <w:r w:rsidR="00761A2F">
        <w:rPr>
          <w:b/>
        </w:rPr>
        <w:t xml:space="preserve">ies are needed </w:t>
      </w:r>
      <w:r w:rsidR="00B57FCF">
        <w:rPr>
          <w:b/>
        </w:rPr>
        <w:t xml:space="preserve">to </w:t>
      </w:r>
      <w:r w:rsidR="0097418D">
        <w:rPr>
          <w:b/>
        </w:rPr>
        <w:t xml:space="preserve">investigate the </w:t>
      </w:r>
      <w:r w:rsidR="00945A08">
        <w:rPr>
          <w:b/>
        </w:rPr>
        <w:t xml:space="preserve">conditions and trade-offs between </w:t>
      </w:r>
      <w:r w:rsidR="00EC276D">
        <w:rPr>
          <w:b/>
        </w:rPr>
        <w:t>UE’s UL power control, and NCR-</w:t>
      </w:r>
      <w:proofErr w:type="spellStart"/>
      <w:r w:rsidR="00EC276D">
        <w:rPr>
          <w:b/>
        </w:rPr>
        <w:t>Fwd’s</w:t>
      </w:r>
      <w:proofErr w:type="spellEnd"/>
      <w:r w:rsidR="00EC276D">
        <w:rPr>
          <w:b/>
        </w:rPr>
        <w:t xml:space="preserve"> power/gain </w:t>
      </w:r>
      <w:r w:rsidR="001F6C02">
        <w:rPr>
          <w:b/>
        </w:rPr>
        <w:t>adjustment.</w:t>
      </w:r>
    </w:p>
    <w:p w14:paraId="22A9AE78" w14:textId="2D07E485" w:rsidR="00BF7B8D" w:rsidRDefault="00BF7B8D" w:rsidP="002B00A3">
      <w:pPr>
        <w:rPr>
          <w:rFonts w:eastAsia="Times New Roman"/>
        </w:rPr>
      </w:pPr>
    </w:p>
    <w:p w14:paraId="7E773896" w14:textId="7E8378A3" w:rsidR="00B11B0C" w:rsidRDefault="00B11B0C" w:rsidP="002B00A3">
      <w:pPr>
        <w:rPr>
          <w:rFonts w:eastAsia="Times New Roman"/>
        </w:rPr>
      </w:pPr>
      <w:r>
        <w:rPr>
          <w:rFonts w:eastAsia="Times New Roman"/>
        </w:rPr>
        <w:t xml:space="preserve">Regarding the self-oscillation mitigation, </w:t>
      </w:r>
      <w:r w:rsidR="006902C8">
        <w:rPr>
          <w:rFonts w:eastAsia="Times New Roman"/>
        </w:rPr>
        <w:t xml:space="preserve">NCR’s implementation </w:t>
      </w:r>
      <w:r w:rsidR="00D93246">
        <w:rPr>
          <w:rFonts w:eastAsia="Times New Roman"/>
        </w:rPr>
        <w:t xml:space="preserve">should </w:t>
      </w:r>
      <w:r w:rsidR="006902C8">
        <w:rPr>
          <w:rFonts w:eastAsia="Times New Roman"/>
        </w:rPr>
        <w:t xml:space="preserve">handle this without a need for side control from the </w:t>
      </w:r>
      <w:proofErr w:type="spellStart"/>
      <w:r w:rsidR="006902C8">
        <w:rPr>
          <w:rFonts w:eastAsia="Times New Roman"/>
        </w:rPr>
        <w:t>gNB</w:t>
      </w:r>
      <w:proofErr w:type="spellEnd"/>
      <w:r w:rsidR="006902C8">
        <w:rPr>
          <w:rFonts w:eastAsia="Times New Roman"/>
        </w:rPr>
        <w:t xml:space="preserve">. </w:t>
      </w:r>
      <w:r w:rsidR="00D33BDF">
        <w:rPr>
          <w:rFonts w:eastAsia="Times New Roman"/>
        </w:rPr>
        <w:t xml:space="preserve">That is, the NCR should support </w:t>
      </w:r>
      <w:r w:rsidR="00DA56E2">
        <w:rPr>
          <w:rFonts w:eastAsia="Times New Roman"/>
        </w:rPr>
        <w:t xml:space="preserve">internal </w:t>
      </w:r>
      <w:r w:rsidR="00D33BDF">
        <w:rPr>
          <w:rFonts w:eastAsia="Times New Roman"/>
        </w:rPr>
        <w:t xml:space="preserve">mechanisms to </w:t>
      </w:r>
      <w:r w:rsidR="00DA56E2">
        <w:rPr>
          <w:rFonts w:eastAsia="Times New Roman"/>
        </w:rPr>
        <w:t>monitor</w:t>
      </w:r>
      <w:r w:rsidR="009270C1">
        <w:rPr>
          <w:rFonts w:eastAsia="Times New Roman"/>
        </w:rPr>
        <w:t xml:space="preserve"> for a self-oscillation issue (e.g., due to environmental changes) </w:t>
      </w:r>
      <w:r w:rsidR="00F7468D">
        <w:rPr>
          <w:rFonts w:eastAsia="Times New Roman"/>
        </w:rPr>
        <w:t xml:space="preserve">and autonomously adjust its gain setting to avoid </w:t>
      </w:r>
      <w:r w:rsidR="00085808">
        <w:rPr>
          <w:rFonts w:eastAsia="Times New Roman"/>
        </w:rPr>
        <w:t xml:space="preserve">oscillation. </w:t>
      </w:r>
      <w:r w:rsidR="00581E3A">
        <w:rPr>
          <w:rFonts w:eastAsia="Times New Roman"/>
        </w:rPr>
        <w:t xml:space="preserve">In our view, the </w:t>
      </w:r>
      <w:r w:rsidR="00581E3A" w:rsidRPr="00893553">
        <w:rPr>
          <w:rFonts w:eastAsia="Times New Roman"/>
          <w:u w:val="single"/>
        </w:rPr>
        <w:t>max</w:t>
      </w:r>
      <w:r w:rsidR="00F10C16" w:rsidRPr="00893553">
        <w:rPr>
          <w:rFonts w:eastAsia="Times New Roman"/>
          <w:u w:val="single"/>
        </w:rPr>
        <w:t>imum</w:t>
      </w:r>
      <w:r w:rsidR="00581E3A">
        <w:rPr>
          <w:rFonts w:eastAsia="Times New Roman"/>
        </w:rPr>
        <w:t xml:space="preserve"> power/gain </w:t>
      </w:r>
      <w:r w:rsidR="00F10C16">
        <w:rPr>
          <w:rFonts w:eastAsia="Times New Roman"/>
        </w:rPr>
        <w:t xml:space="preserve">can be configure/indicated </w:t>
      </w:r>
      <w:r w:rsidR="00E400F6">
        <w:rPr>
          <w:rFonts w:eastAsia="Times New Roman"/>
        </w:rPr>
        <w:t xml:space="preserve">to the NCR. And </w:t>
      </w:r>
      <w:r w:rsidR="00E775E4">
        <w:rPr>
          <w:rFonts w:eastAsia="Times New Roman"/>
        </w:rPr>
        <w:t xml:space="preserve">the </w:t>
      </w:r>
      <w:r w:rsidR="00E400F6">
        <w:rPr>
          <w:rFonts w:eastAsia="Times New Roman"/>
        </w:rPr>
        <w:t xml:space="preserve">NCR may need to </w:t>
      </w:r>
      <w:r w:rsidR="001E6719">
        <w:rPr>
          <w:rFonts w:eastAsia="Times New Roman"/>
        </w:rPr>
        <w:t>back off from th</w:t>
      </w:r>
      <w:r w:rsidR="006C2D23">
        <w:rPr>
          <w:rFonts w:eastAsia="Times New Roman"/>
        </w:rPr>
        <w:t xml:space="preserve">e max </w:t>
      </w:r>
      <w:r w:rsidR="00AE3FBA">
        <w:rPr>
          <w:rFonts w:eastAsia="Times New Roman"/>
        </w:rPr>
        <w:t>power/gain</w:t>
      </w:r>
      <w:r w:rsidR="001E6719">
        <w:rPr>
          <w:rFonts w:eastAsia="Times New Roman"/>
        </w:rPr>
        <w:t>, if it detects a self-oscillation issue.</w:t>
      </w:r>
    </w:p>
    <w:p w14:paraId="13278058" w14:textId="7AF52BCC" w:rsidR="00FD3E48" w:rsidRDefault="00FD3E48" w:rsidP="002B00A3">
      <w:pPr>
        <w:rPr>
          <w:rFonts w:eastAsia="Times New Roman"/>
        </w:rPr>
      </w:pPr>
    </w:p>
    <w:p w14:paraId="49C61F4C" w14:textId="14B7EF04" w:rsidR="00FD3E48" w:rsidRDefault="00FD3E48" w:rsidP="00FD3E48">
      <w:pPr>
        <w:rPr>
          <w:b/>
          <w:u w:val="single"/>
        </w:rPr>
      </w:pPr>
      <w:r>
        <w:rPr>
          <w:b/>
          <w:u w:val="single"/>
        </w:rPr>
        <w:t xml:space="preserve">Observation </w:t>
      </w:r>
      <w:r w:rsidR="00285E0C">
        <w:rPr>
          <w:b/>
          <w:u w:val="single"/>
        </w:rPr>
        <w:t>4</w:t>
      </w:r>
    </w:p>
    <w:p w14:paraId="141450A1" w14:textId="27B414BA" w:rsidR="00D03966" w:rsidRDefault="00285E0C" w:rsidP="00FD3E48">
      <w:pPr>
        <w:rPr>
          <w:rFonts w:eastAsia="Times New Roman"/>
          <w:b/>
        </w:rPr>
      </w:pPr>
      <w:r>
        <w:rPr>
          <w:rFonts w:eastAsia="Times New Roman"/>
          <w:b/>
        </w:rPr>
        <w:t>NCR’s</w:t>
      </w:r>
      <w:r w:rsidR="00D6688F" w:rsidRPr="00D6688F">
        <w:rPr>
          <w:rFonts w:eastAsia="Times New Roman"/>
          <w:b/>
        </w:rPr>
        <w:t xml:space="preserve"> implementation </w:t>
      </w:r>
      <w:r w:rsidR="00E546AE">
        <w:rPr>
          <w:rFonts w:eastAsia="Times New Roman"/>
          <w:b/>
        </w:rPr>
        <w:t>should handle</w:t>
      </w:r>
      <w:r w:rsidR="00600B19">
        <w:rPr>
          <w:rFonts w:eastAsia="Times New Roman"/>
          <w:b/>
        </w:rPr>
        <w:t xml:space="preserve"> self-oscillation</w:t>
      </w:r>
      <w:r w:rsidR="00E546AE">
        <w:rPr>
          <w:rFonts w:eastAsia="Times New Roman"/>
          <w:b/>
        </w:rPr>
        <w:t xml:space="preserve"> issue, without </w:t>
      </w:r>
      <w:proofErr w:type="spellStart"/>
      <w:r w:rsidR="00D6688F" w:rsidRPr="00D6688F">
        <w:rPr>
          <w:rFonts w:eastAsia="Times New Roman"/>
          <w:b/>
        </w:rPr>
        <w:t>gNB’s</w:t>
      </w:r>
      <w:proofErr w:type="spellEnd"/>
      <w:r w:rsidR="00D6688F" w:rsidRPr="00D6688F">
        <w:rPr>
          <w:rFonts w:eastAsia="Times New Roman"/>
          <w:b/>
        </w:rPr>
        <w:t xml:space="preserve"> side control.</w:t>
      </w:r>
    </w:p>
    <w:p w14:paraId="12F81597" w14:textId="5260F70E" w:rsidR="00D93246" w:rsidRDefault="00D93246" w:rsidP="00FD3E48">
      <w:pPr>
        <w:rPr>
          <w:rFonts w:eastAsia="Times New Roman"/>
          <w:b/>
        </w:rPr>
      </w:pPr>
    </w:p>
    <w:p w14:paraId="34D37119" w14:textId="50C11110" w:rsidR="00D93246" w:rsidRDefault="00D93246" w:rsidP="00D93246">
      <w:pPr>
        <w:rPr>
          <w:rFonts w:eastAsia="Times New Roman"/>
        </w:rPr>
      </w:pPr>
      <w:r>
        <w:rPr>
          <w:rFonts w:eastAsia="Times New Roman"/>
        </w:rPr>
        <w:lastRenderedPageBreak/>
        <w:t xml:space="preserve">Based on the above discussions and observations, we believe </w:t>
      </w:r>
      <w:r w:rsidR="00456851">
        <w:rPr>
          <w:rFonts w:eastAsia="Times New Roman"/>
        </w:rPr>
        <w:t xml:space="preserve">while </w:t>
      </w:r>
      <w:r w:rsidR="00F34D8A">
        <w:rPr>
          <w:rFonts w:eastAsia="Times New Roman"/>
        </w:rPr>
        <w:t xml:space="preserve">NCR can support basic operation </w:t>
      </w:r>
      <w:r w:rsidR="006E7728">
        <w:rPr>
          <w:rFonts w:eastAsia="Times New Roman"/>
        </w:rPr>
        <w:t>without network-controlled power/gain setting</w:t>
      </w:r>
      <w:r w:rsidR="000D25B5">
        <w:rPr>
          <w:rFonts w:eastAsia="Times New Roman"/>
        </w:rPr>
        <w:t xml:space="preserve">, </w:t>
      </w:r>
      <w:r>
        <w:rPr>
          <w:rFonts w:eastAsia="Times New Roman"/>
        </w:rPr>
        <w:t xml:space="preserve">providing the </w:t>
      </w:r>
      <w:proofErr w:type="spellStart"/>
      <w:r>
        <w:rPr>
          <w:rFonts w:eastAsia="Times New Roman"/>
        </w:rPr>
        <w:t>gNB</w:t>
      </w:r>
      <w:proofErr w:type="spellEnd"/>
      <w:r>
        <w:rPr>
          <w:rFonts w:eastAsia="Times New Roman"/>
        </w:rPr>
        <w:t xml:space="preserve"> </w:t>
      </w:r>
      <w:r w:rsidR="00804AF7">
        <w:rPr>
          <w:rFonts w:eastAsia="Times New Roman"/>
        </w:rPr>
        <w:t xml:space="preserve">with </w:t>
      </w:r>
      <w:r>
        <w:rPr>
          <w:rFonts w:eastAsia="Times New Roman"/>
        </w:rPr>
        <w:t xml:space="preserve">the flexibility to control the NCR’s power/gain is beneficial. </w:t>
      </w:r>
    </w:p>
    <w:p w14:paraId="2EA6A2ED" w14:textId="77777777" w:rsidR="00D93246" w:rsidRDefault="00D93246" w:rsidP="00D93246">
      <w:pPr>
        <w:rPr>
          <w:rFonts w:eastAsia="Times New Roman"/>
        </w:rPr>
      </w:pPr>
    </w:p>
    <w:p w14:paraId="49C52594" w14:textId="428BD94B" w:rsidR="00D93246" w:rsidRDefault="00D93246" w:rsidP="00D93246">
      <w:pPr>
        <w:rPr>
          <w:b/>
          <w:u w:val="single"/>
        </w:rPr>
      </w:pPr>
      <w:r>
        <w:rPr>
          <w:b/>
          <w:u w:val="single"/>
        </w:rPr>
        <w:t xml:space="preserve">Observation </w:t>
      </w:r>
      <w:r w:rsidR="00797D2F">
        <w:rPr>
          <w:b/>
          <w:u w:val="single"/>
        </w:rPr>
        <w:t>5</w:t>
      </w:r>
    </w:p>
    <w:p w14:paraId="2B3F838C" w14:textId="0A1BF528" w:rsidR="00D93246" w:rsidRDefault="00D93246" w:rsidP="00D93246">
      <w:pPr>
        <w:rPr>
          <w:b/>
          <w:lang w:val="en-GB"/>
        </w:rPr>
      </w:pPr>
      <w:r>
        <w:rPr>
          <w:b/>
        </w:rPr>
        <w:t>NCR’s power control via side control information indication</w:t>
      </w:r>
      <w:r w:rsidR="00265D7C">
        <w:rPr>
          <w:b/>
        </w:rPr>
        <w:t>, as an enhanced feature,</w:t>
      </w:r>
      <w:r>
        <w:rPr>
          <w:b/>
        </w:rPr>
        <w:t xml:space="preserve"> </w:t>
      </w:r>
      <w:r w:rsidR="00797D2F">
        <w:rPr>
          <w:b/>
        </w:rPr>
        <w:t>can improve the</w:t>
      </w:r>
      <w:r w:rsidR="009B0293">
        <w:rPr>
          <w:b/>
        </w:rPr>
        <w:t xml:space="preserve"> performance</w:t>
      </w:r>
      <w:r>
        <w:rPr>
          <w:b/>
        </w:rPr>
        <w:t xml:space="preserve">. </w:t>
      </w:r>
    </w:p>
    <w:p w14:paraId="6CF2AC93" w14:textId="1825EA7F" w:rsidR="00D93246" w:rsidRDefault="009B0293" w:rsidP="00FD3E48">
      <w:pPr>
        <w:rPr>
          <w:lang w:val="en-GB" w:eastAsia="zh-CN"/>
        </w:rPr>
      </w:pPr>
      <w:r>
        <w:rPr>
          <w:rFonts w:eastAsia="Times New Roman"/>
        </w:rPr>
        <w:t xml:space="preserve">However, </w:t>
      </w:r>
      <w:r>
        <w:rPr>
          <w:lang w:val="en-GB" w:eastAsia="zh-CN"/>
        </w:rPr>
        <w:t>given the 3GPP time limitations in Rel-18, NCR’s power control may be discussed in future.</w:t>
      </w:r>
    </w:p>
    <w:p w14:paraId="01A1CE40" w14:textId="77777777" w:rsidR="006A1B5E" w:rsidRDefault="006A1B5E" w:rsidP="00FD3E48">
      <w:pPr>
        <w:rPr>
          <w:lang w:val="en-GB" w:eastAsia="zh-CN"/>
        </w:rPr>
      </w:pPr>
    </w:p>
    <w:p w14:paraId="40695883" w14:textId="77777777" w:rsidR="009B0293" w:rsidRDefault="009B0293" w:rsidP="009B0293">
      <w:pPr>
        <w:rPr>
          <w:b/>
          <w:u w:val="single"/>
        </w:rPr>
      </w:pPr>
      <w:r>
        <w:rPr>
          <w:b/>
          <w:u w:val="single"/>
        </w:rPr>
        <w:t>Proposal</w:t>
      </w:r>
    </w:p>
    <w:p w14:paraId="2475741B" w14:textId="0DE390DD" w:rsidR="009B0293" w:rsidRDefault="00265D7C" w:rsidP="009B0293">
      <w:r>
        <w:rPr>
          <w:b/>
        </w:rPr>
        <w:t xml:space="preserve">Given the </w:t>
      </w:r>
      <w:r w:rsidR="00227684">
        <w:rPr>
          <w:b/>
        </w:rPr>
        <w:t xml:space="preserve">3GPP time limitations, </w:t>
      </w:r>
      <w:r w:rsidR="009B0293">
        <w:rPr>
          <w:b/>
        </w:rPr>
        <w:t>NCR’s power control</w:t>
      </w:r>
      <w:r w:rsidR="00A41515">
        <w:rPr>
          <w:b/>
        </w:rPr>
        <w:t xml:space="preserve"> is</w:t>
      </w:r>
      <w:r w:rsidR="009B0293">
        <w:rPr>
          <w:b/>
        </w:rPr>
        <w:t xml:space="preserve"> considered as an enhanced feature </w:t>
      </w:r>
      <w:r w:rsidR="00A41515">
        <w:rPr>
          <w:b/>
        </w:rPr>
        <w:t>for</w:t>
      </w:r>
      <w:r w:rsidR="009B0293">
        <w:rPr>
          <w:b/>
        </w:rPr>
        <w:t xml:space="preserve"> future. </w:t>
      </w:r>
    </w:p>
    <w:p w14:paraId="72F3F293" w14:textId="77777777" w:rsidR="009B0293" w:rsidRPr="00893553" w:rsidRDefault="009B0293" w:rsidP="00FD3E48">
      <w:pPr>
        <w:rPr>
          <w:rFonts w:eastAsia="Times New Roman"/>
        </w:rPr>
      </w:pPr>
    </w:p>
    <w:p w14:paraId="1A981973" w14:textId="7DC3BE1B" w:rsidR="004E7C41" w:rsidRDefault="004E7C41" w:rsidP="004E7C41">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3 Conclusion</w:t>
      </w:r>
    </w:p>
    <w:p w14:paraId="596108DE" w14:textId="6944570E" w:rsidR="004E7C41" w:rsidRDefault="00A71D5A" w:rsidP="00447514">
      <w:pPr>
        <w:rPr>
          <w:lang w:val="en-GB" w:eastAsia="zh-CN"/>
        </w:rPr>
      </w:pPr>
      <w:r>
        <w:rPr>
          <w:lang w:val="en-GB" w:eastAsia="zh-CN"/>
        </w:rPr>
        <w:t>In this contribution, we provided our views on NCR’s power control</w:t>
      </w:r>
      <w:r w:rsidR="00381C19">
        <w:rPr>
          <w:lang w:val="en-GB" w:eastAsia="zh-CN"/>
        </w:rPr>
        <w:t>, and made the following observations:</w:t>
      </w:r>
    </w:p>
    <w:p w14:paraId="33CD47D3" w14:textId="77777777" w:rsidR="00381C19" w:rsidRDefault="00381C19" w:rsidP="00381C19">
      <w:pPr>
        <w:rPr>
          <w:b/>
          <w:u w:val="single"/>
        </w:rPr>
      </w:pPr>
      <w:r>
        <w:rPr>
          <w:b/>
          <w:u w:val="single"/>
        </w:rPr>
        <w:t>Observation 1</w:t>
      </w:r>
    </w:p>
    <w:p w14:paraId="654926CB" w14:textId="5CE8720C" w:rsidR="00381C19" w:rsidRDefault="00381C19" w:rsidP="00381C19">
      <w:pPr>
        <w:rPr>
          <w:b/>
        </w:rPr>
      </w:pPr>
      <w:r>
        <w:rPr>
          <w:b/>
        </w:rPr>
        <w:t>NCR’s autonomous gain change may lead to DL EPRE</w:t>
      </w:r>
      <w:r w:rsidR="00A41515">
        <w:rPr>
          <w:b/>
        </w:rPr>
        <w:t xml:space="preserve"> variations</w:t>
      </w:r>
      <w:r>
        <w:rPr>
          <w:b/>
        </w:rPr>
        <w:t>.</w:t>
      </w:r>
    </w:p>
    <w:p w14:paraId="2703FF67" w14:textId="77777777" w:rsidR="00381C19" w:rsidRDefault="00381C19" w:rsidP="00381C19">
      <w:pPr>
        <w:rPr>
          <w:b/>
          <w:u w:val="single"/>
        </w:rPr>
      </w:pPr>
      <w:r>
        <w:rPr>
          <w:b/>
          <w:u w:val="single"/>
        </w:rPr>
        <w:t>Observation 2</w:t>
      </w:r>
    </w:p>
    <w:p w14:paraId="5F69E43D" w14:textId="5A379BA5" w:rsidR="00381C19" w:rsidRDefault="00381C19" w:rsidP="00381C19">
      <w:pPr>
        <w:rPr>
          <w:b/>
        </w:rPr>
      </w:pPr>
      <w:r>
        <w:rPr>
          <w:b/>
        </w:rPr>
        <w:t xml:space="preserve">Without </w:t>
      </w:r>
      <w:proofErr w:type="spellStart"/>
      <w:r>
        <w:rPr>
          <w:b/>
        </w:rPr>
        <w:t>gNB’s</w:t>
      </w:r>
      <w:proofErr w:type="spellEnd"/>
      <w:r>
        <w:rPr>
          <w:b/>
        </w:rPr>
        <w:t xml:space="preserve"> control or indications, NCR’s PAs may </w:t>
      </w:r>
      <w:r w:rsidR="00013803">
        <w:rPr>
          <w:b/>
        </w:rPr>
        <w:t xml:space="preserve">temporarily </w:t>
      </w:r>
      <w:r>
        <w:rPr>
          <w:b/>
        </w:rPr>
        <w:t xml:space="preserve">saturate (or not operate efficiently) due to changes of the level of input power to NCR-Fwd. </w:t>
      </w:r>
    </w:p>
    <w:p w14:paraId="6552E357" w14:textId="77777777" w:rsidR="00381C19" w:rsidRDefault="00381C19" w:rsidP="00381C19">
      <w:pPr>
        <w:rPr>
          <w:b/>
          <w:u w:val="single"/>
        </w:rPr>
      </w:pPr>
      <w:r>
        <w:rPr>
          <w:b/>
          <w:u w:val="single"/>
        </w:rPr>
        <w:t>Observation 3</w:t>
      </w:r>
    </w:p>
    <w:p w14:paraId="37E879EA" w14:textId="64BFBFA4" w:rsidR="00381C19" w:rsidRDefault="00381C19" w:rsidP="00381C19">
      <w:pPr>
        <w:rPr>
          <w:b/>
        </w:rPr>
      </w:pPr>
      <w:r>
        <w:rPr>
          <w:b/>
        </w:rPr>
        <w:t xml:space="preserve">For UL power control and to achieve a desired adjustment in UL RX power at the </w:t>
      </w:r>
      <w:proofErr w:type="spellStart"/>
      <w:r>
        <w:rPr>
          <w:b/>
        </w:rPr>
        <w:t>gNB</w:t>
      </w:r>
      <w:proofErr w:type="spellEnd"/>
      <w:r>
        <w:rPr>
          <w:b/>
        </w:rPr>
        <w:t>, changing UE’s UL TX power lead</w:t>
      </w:r>
      <w:r w:rsidR="00A41515">
        <w:rPr>
          <w:b/>
        </w:rPr>
        <w:t>s</w:t>
      </w:r>
      <w:r>
        <w:rPr>
          <w:b/>
        </w:rPr>
        <w:t xml:space="preserve"> to a degradation of UE’s end-to-end SNR and throughput. Alternatively, changing NCR’s output power can achieve the desired adjustment </w:t>
      </w:r>
      <w:r w:rsidR="0025255C">
        <w:rPr>
          <w:b/>
        </w:rPr>
        <w:t>with</w:t>
      </w:r>
      <w:r>
        <w:rPr>
          <w:b/>
        </w:rPr>
        <w:t xml:space="preserve"> lower impact on the end-to-end SNR. </w:t>
      </w:r>
    </w:p>
    <w:p w14:paraId="2B5A1835" w14:textId="77777777" w:rsidR="00410888" w:rsidRPr="00497EF6" w:rsidRDefault="00410888" w:rsidP="00410888">
      <w:pPr>
        <w:pStyle w:val="ListParagraph"/>
        <w:numPr>
          <w:ilvl w:val="0"/>
          <w:numId w:val="5"/>
        </w:numPr>
        <w:rPr>
          <w:b/>
        </w:rPr>
      </w:pPr>
      <w:r w:rsidRPr="00497EF6">
        <w:rPr>
          <w:b/>
        </w:rPr>
        <w:t>Further stud</w:t>
      </w:r>
      <w:r>
        <w:rPr>
          <w:b/>
        </w:rPr>
        <w:t>ies are needed to investigate the conditions and trade-offs between UE’s UL power control, and NCR-</w:t>
      </w:r>
      <w:proofErr w:type="spellStart"/>
      <w:r>
        <w:rPr>
          <w:b/>
        </w:rPr>
        <w:t>Fwd’s</w:t>
      </w:r>
      <w:proofErr w:type="spellEnd"/>
      <w:r>
        <w:rPr>
          <w:b/>
        </w:rPr>
        <w:t xml:space="preserve"> power/gain adjustment.</w:t>
      </w:r>
    </w:p>
    <w:p w14:paraId="4189A510" w14:textId="07A46D74" w:rsidR="00381C19" w:rsidRDefault="00381C19" w:rsidP="00381C19">
      <w:pPr>
        <w:rPr>
          <w:b/>
          <w:u w:val="single"/>
        </w:rPr>
      </w:pPr>
      <w:r>
        <w:rPr>
          <w:b/>
          <w:u w:val="single"/>
        </w:rPr>
        <w:t xml:space="preserve">Observation </w:t>
      </w:r>
      <w:r w:rsidR="0003544E">
        <w:rPr>
          <w:b/>
          <w:u w:val="single"/>
        </w:rPr>
        <w:t>4</w:t>
      </w:r>
    </w:p>
    <w:p w14:paraId="588E3A9E" w14:textId="7AC4EFA8" w:rsidR="00381C19" w:rsidRDefault="0003544E" w:rsidP="00381C19">
      <w:pPr>
        <w:rPr>
          <w:rFonts w:eastAsia="Times New Roman"/>
          <w:b/>
        </w:rPr>
      </w:pPr>
      <w:r>
        <w:rPr>
          <w:rFonts w:eastAsia="Times New Roman"/>
          <w:b/>
        </w:rPr>
        <w:t>NCR’s</w:t>
      </w:r>
      <w:r w:rsidR="00381C19" w:rsidRPr="00D6688F">
        <w:rPr>
          <w:rFonts w:eastAsia="Times New Roman"/>
          <w:b/>
        </w:rPr>
        <w:t xml:space="preserve"> implementation </w:t>
      </w:r>
      <w:r>
        <w:rPr>
          <w:rFonts w:eastAsia="Times New Roman"/>
          <w:b/>
        </w:rPr>
        <w:t>should handle</w:t>
      </w:r>
      <w:r w:rsidR="00381C19" w:rsidRPr="00D6688F">
        <w:rPr>
          <w:rFonts w:eastAsia="Times New Roman"/>
          <w:b/>
        </w:rPr>
        <w:t xml:space="preserve"> </w:t>
      </w:r>
      <w:r w:rsidR="00381C19">
        <w:rPr>
          <w:rFonts w:eastAsia="Times New Roman"/>
          <w:b/>
        </w:rPr>
        <w:t>self-oscillation</w:t>
      </w:r>
      <w:r>
        <w:rPr>
          <w:rFonts w:eastAsia="Times New Roman"/>
          <w:b/>
        </w:rPr>
        <w:t xml:space="preserve"> issue</w:t>
      </w:r>
      <w:r w:rsidR="00BA52A0">
        <w:rPr>
          <w:rFonts w:eastAsia="Times New Roman"/>
          <w:b/>
        </w:rPr>
        <w:t>, without</w:t>
      </w:r>
      <w:r w:rsidR="00381C19" w:rsidRPr="00D6688F">
        <w:rPr>
          <w:rFonts w:eastAsia="Times New Roman"/>
          <w:b/>
        </w:rPr>
        <w:t xml:space="preserve"> </w:t>
      </w:r>
      <w:proofErr w:type="spellStart"/>
      <w:r w:rsidR="00381C19" w:rsidRPr="00D6688F">
        <w:rPr>
          <w:rFonts w:eastAsia="Times New Roman"/>
          <w:b/>
        </w:rPr>
        <w:t>gNB’s</w:t>
      </w:r>
      <w:proofErr w:type="spellEnd"/>
      <w:r w:rsidR="00381C19" w:rsidRPr="00D6688F">
        <w:rPr>
          <w:rFonts w:eastAsia="Times New Roman"/>
          <w:b/>
        </w:rPr>
        <w:t xml:space="preserve"> side control.</w:t>
      </w:r>
    </w:p>
    <w:p w14:paraId="050A51E8" w14:textId="77777777" w:rsidR="00BA52A0" w:rsidRDefault="00BA52A0" w:rsidP="00BA52A0">
      <w:pPr>
        <w:rPr>
          <w:b/>
          <w:u w:val="single"/>
        </w:rPr>
      </w:pPr>
      <w:r>
        <w:rPr>
          <w:b/>
          <w:u w:val="single"/>
        </w:rPr>
        <w:t>Observation 5</w:t>
      </w:r>
    </w:p>
    <w:p w14:paraId="77F4F5EA" w14:textId="77777777" w:rsidR="00BA52A0" w:rsidRDefault="00BA52A0" w:rsidP="00BA52A0">
      <w:pPr>
        <w:rPr>
          <w:b/>
          <w:lang w:val="en-GB"/>
        </w:rPr>
      </w:pPr>
      <w:r>
        <w:rPr>
          <w:b/>
        </w:rPr>
        <w:t xml:space="preserve">NCR’s power control via side control information indication, as an enhanced feature, can improve the performance. </w:t>
      </w:r>
    </w:p>
    <w:p w14:paraId="63A9D2D6" w14:textId="77777777" w:rsidR="00BA52A0" w:rsidRDefault="00BA52A0" w:rsidP="00447514">
      <w:pPr>
        <w:rPr>
          <w:lang w:val="en-GB" w:eastAsia="zh-CN"/>
        </w:rPr>
      </w:pPr>
    </w:p>
    <w:p w14:paraId="5B22141C" w14:textId="702B03C1" w:rsidR="00A156BD" w:rsidRDefault="00A156BD" w:rsidP="00447514">
      <w:pPr>
        <w:rPr>
          <w:lang w:val="en-GB" w:eastAsia="zh-CN"/>
        </w:rPr>
      </w:pPr>
      <w:r>
        <w:rPr>
          <w:lang w:val="en-GB" w:eastAsia="zh-CN"/>
        </w:rPr>
        <w:t xml:space="preserve">While we believe </w:t>
      </w:r>
      <w:r w:rsidR="00552D8A">
        <w:rPr>
          <w:lang w:val="en-GB" w:eastAsia="zh-CN"/>
        </w:rPr>
        <w:t xml:space="preserve">NCR’s power control </w:t>
      </w:r>
      <w:r w:rsidR="006603FF">
        <w:rPr>
          <w:lang w:val="en-GB" w:eastAsia="zh-CN"/>
        </w:rPr>
        <w:t xml:space="preserve">is a useful tool to increase the benefits </w:t>
      </w:r>
      <w:r w:rsidR="00075154">
        <w:rPr>
          <w:lang w:val="en-GB" w:eastAsia="zh-CN"/>
        </w:rPr>
        <w:t xml:space="preserve">offered by an NCR, given the </w:t>
      </w:r>
      <w:r w:rsidR="00CC5BF0">
        <w:rPr>
          <w:lang w:val="en-GB" w:eastAsia="zh-CN"/>
        </w:rPr>
        <w:t xml:space="preserve">3GPP time limitations in Rel-18, this feature </w:t>
      </w:r>
      <w:r w:rsidR="00041369">
        <w:rPr>
          <w:lang w:val="en-GB" w:eastAsia="zh-CN"/>
        </w:rPr>
        <w:t xml:space="preserve">may be discussed in future. </w:t>
      </w:r>
    </w:p>
    <w:p w14:paraId="5E690313" w14:textId="77777777" w:rsidR="00041369" w:rsidRDefault="00041369" w:rsidP="00447514">
      <w:pPr>
        <w:rPr>
          <w:lang w:val="en-GB" w:eastAsia="zh-CN"/>
        </w:rPr>
      </w:pPr>
    </w:p>
    <w:p w14:paraId="1CCFB722" w14:textId="795B7D16" w:rsidR="00305F0C" w:rsidRDefault="00305F0C" w:rsidP="00305F0C">
      <w:pPr>
        <w:rPr>
          <w:b/>
          <w:u w:val="single"/>
        </w:rPr>
      </w:pPr>
      <w:r>
        <w:rPr>
          <w:b/>
          <w:u w:val="single"/>
        </w:rPr>
        <w:t>Proposal</w:t>
      </w:r>
    </w:p>
    <w:p w14:paraId="2AA36206" w14:textId="77777777" w:rsidR="00BA52A0" w:rsidRDefault="00BA52A0" w:rsidP="00BA52A0">
      <w:r>
        <w:rPr>
          <w:b/>
        </w:rPr>
        <w:t xml:space="preserve">Given the 3GPP time limitations, NCR’s power control is considered as an enhanced feature for future. </w:t>
      </w:r>
    </w:p>
    <w:p w14:paraId="2B6A8F16" w14:textId="670105F1" w:rsidR="004E7C41" w:rsidRDefault="004E7C41" w:rsidP="004E7C41">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4 Reference</w:t>
      </w:r>
    </w:p>
    <w:p w14:paraId="2D4DE65D" w14:textId="2F2753B8" w:rsidR="004E7C41" w:rsidRPr="00682D67" w:rsidRDefault="00682D67" w:rsidP="00682D67">
      <w:pPr>
        <w:rPr>
          <w:lang w:val="en-GB" w:eastAsia="zh-CN"/>
        </w:rPr>
      </w:pPr>
      <w:r w:rsidRPr="000E4450">
        <w:rPr>
          <w:lang w:val="en-GB" w:eastAsia="zh-CN"/>
        </w:rPr>
        <w:t>[1] R1-</w:t>
      </w:r>
      <w:r w:rsidR="006E6D75">
        <w:rPr>
          <w:lang w:val="en-GB" w:eastAsia="zh-CN"/>
        </w:rPr>
        <w:t>2212131</w:t>
      </w:r>
      <w:r w:rsidRPr="000E4450">
        <w:rPr>
          <w:lang w:val="en-GB" w:eastAsia="zh-CN"/>
        </w:rPr>
        <w:t xml:space="preserve">, “On </w:t>
      </w:r>
      <w:r w:rsidR="00A71CE7" w:rsidRPr="000E4450">
        <w:rPr>
          <w:lang w:val="en-GB" w:eastAsia="zh-CN"/>
        </w:rPr>
        <w:t>other</w:t>
      </w:r>
      <w:r w:rsidR="00A71CE7">
        <w:rPr>
          <w:lang w:val="en-GB" w:eastAsia="zh-CN"/>
        </w:rPr>
        <w:t xml:space="preserve"> NCR aspects</w:t>
      </w:r>
      <w:r>
        <w:rPr>
          <w:lang w:val="en-GB" w:eastAsia="zh-CN"/>
        </w:rPr>
        <w:t xml:space="preserve">”, </w:t>
      </w:r>
      <w:r w:rsidRPr="001E3BA9">
        <w:rPr>
          <w:lang w:val="en-GB" w:eastAsia="zh-CN"/>
        </w:rPr>
        <w:t>Qualcomm Incorporated</w:t>
      </w:r>
      <w:r>
        <w:rPr>
          <w:lang w:val="en-GB" w:eastAsia="zh-CN"/>
        </w:rPr>
        <w:t>.</w:t>
      </w:r>
    </w:p>
    <w:p w14:paraId="4C485536" w14:textId="77777777" w:rsidR="001D1279" w:rsidRDefault="001D1279"/>
    <w:sectPr w:rsidR="001D127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E006E" w14:textId="77777777" w:rsidR="00B85122" w:rsidRDefault="00B85122" w:rsidP="00691199">
      <w:pPr>
        <w:spacing w:after="0" w:line="240" w:lineRule="auto"/>
      </w:pPr>
      <w:r>
        <w:separator/>
      </w:r>
    </w:p>
  </w:endnote>
  <w:endnote w:type="continuationSeparator" w:id="0">
    <w:p w14:paraId="78EAB076" w14:textId="77777777" w:rsidR="00B85122" w:rsidRDefault="00B85122" w:rsidP="00691199">
      <w:pPr>
        <w:spacing w:after="0" w:line="240" w:lineRule="auto"/>
      </w:pPr>
      <w:r>
        <w:continuationSeparator/>
      </w:r>
    </w:p>
  </w:endnote>
  <w:endnote w:type="continuationNotice" w:id="1">
    <w:p w14:paraId="04E52400" w14:textId="77777777" w:rsidR="00B85122" w:rsidRDefault="00B851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4A23B" w14:textId="77777777" w:rsidR="00B85122" w:rsidRDefault="00B85122" w:rsidP="00691199">
      <w:pPr>
        <w:spacing w:after="0" w:line="240" w:lineRule="auto"/>
      </w:pPr>
      <w:r>
        <w:separator/>
      </w:r>
    </w:p>
  </w:footnote>
  <w:footnote w:type="continuationSeparator" w:id="0">
    <w:p w14:paraId="324669A2" w14:textId="77777777" w:rsidR="00B85122" w:rsidRDefault="00B85122" w:rsidP="00691199">
      <w:pPr>
        <w:spacing w:after="0" w:line="240" w:lineRule="auto"/>
      </w:pPr>
      <w:r>
        <w:continuationSeparator/>
      </w:r>
    </w:p>
  </w:footnote>
  <w:footnote w:type="continuationNotice" w:id="1">
    <w:p w14:paraId="4470FD26" w14:textId="77777777" w:rsidR="00B85122" w:rsidRDefault="00B8512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36AE1"/>
    <w:multiLevelType w:val="hybridMultilevel"/>
    <w:tmpl w:val="837C970E"/>
    <w:lvl w:ilvl="0" w:tplc="3132C6A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F739E7"/>
    <w:multiLevelType w:val="hybridMultilevel"/>
    <w:tmpl w:val="74487548"/>
    <w:lvl w:ilvl="0" w:tplc="68982094">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F948B9"/>
    <w:multiLevelType w:val="hybridMultilevel"/>
    <w:tmpl w:val="36026228"/>
    <w:lvl w:ilvl="0" w:tplc="D5D4C690">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5D3498"/>
    <w:multiLevelType w:val="hybridMultilevel"/>
    <w:tmpl w:val="69F434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5162E1"/>
    <w:multiLevelType w:val="hybridMultilevel"/>
    <w:tmpl w:val="29FE8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199"/>
    <w:rsid w:val="0000035D"/>
    <w:rsid w:val="00002B50"/>
    <w:rsid w:val="00004EAC"/>
    <w:rsid w:val="00012747"/>
    <w:rsid w:val="00013803"/>
    <w:rsid w:val="00023D5B"/>
    <w:rsid w:val="00027EB8"/>
    <w:rsid w:val="0003544E"/>
    <w:rsid w:val="00041369"/>
    <w:rsid w:val="00054D75"/>
    <w:rsid w:val="0005598F"/>
    <w:rsid w:val="00061C3C"/>
    <w:rsid w:val="00061F13"/>
    <w:rsid w:val="00075060"/>
    <w:rsid w:val="00075154"/>
    <w:rsid w:val="00085808"/>
    <w:rsid w:val="000B14C2"/>
    <w:rsid w:val="000D25B5"/>
    <w:rsid w:val="000E0F19"/>
    <w:rsid w:val="000E28B6"/>
    <w:rsid w:val="000E4450"/>
    <w:rsid w:val="00114403"/>
    <w:rsid w:val="001C4A75"/>
    <w:rsid w:val="001D1279"/>
    <w:rsid w:val="001E6719"/>
    <w:rsid w:val="001F6C02"/>
    <w:rsid w:val="002068F8"/>
    <w:rsid w:val="002113DE"/>
    <w:rsid w:val="00227684"/>
    <w:rsid w:val="00236D82"/>
    <w:rsid w:val="0024291B"/>
    <w:rsid w:val="002455B1"/>
    <w:rsid w:val="0025255C"/>
    <w:rsid w:val="00255ED8"/>
    <w:rsid w:val="00265D7C"/>
    <w:rsid w:val="00272D80"/>
    <w:rsid w:val="00280A66"/>
    <w:rsid w:val="00281123"/>
    <w:rsid w:val="00283437"/>
    <w:rsid w:val="00285E0C"/>
    <w:rsid w:val="0028722A"/>
    <w:rsid w:val="0029419C"/>
    <w:rsid w:val="002B00A3"/>
    <w:rsid w:val="002C68C1"/>
    <w:rsid w:val="002D3E8E"/>
    <w:rsid w:val="002D52D8"/>
    <w:rsid w:val="002F0772"/>
    <w:rsid w:val="002F34D9"/>
    <w:rsid w:val="00301AC8"/>
    <w:rsid w:val="00305355"/>
    <w:rsid w:val="00305F0C"/>
    <w:rsid w:val="00337430"/>
    <w:rsid w:val="0035765F"/>
    <w:rsid w:val="00366913"/>
    <w:rsid w:val="0037290C"/>
    <w:rsid w:val="00374DAD"/>
    <w:rsid w:val="00381C19"/>
    <w:rsid w:val="0038698A"/>
    <w:rsid w:val="003B0156"/>
    <w:rsid w:val="003C5F09"/>
    <w:rsid w:val="003C61FF"/>
    <w:rsid w:val="003D6C8F"/>
    <w:rsid w:val="003D6F57"/>
    <w:rsid w:val="003E11C8"/>
    <w:rsid w:val="00407C6A"/>
    <w:rsid w:val="00410888"/>
    <w:rsid w:val="00424498"/>
    <w:rsid w:val="004435A0"/>
    <w:rsid w:val="00447514"/>
    <w:rsid w:val="00456851"/>
    <w:rsid w:val="00486AC1"/>
    <w:rsid w:val="004871BE"/>
    <w:rsid w:val="004A6880"/>
    <w:rsid w:val="004B2160"/>
    <w:rsid w:val="004C3632"/>
    <w:rsid w:val="004C3BED"/>
    <w:rsid w:val="004E7C41"/>
    <w:rsid w:val="004F2794"/>
    <w:rsid w:val="004F3F14"/>
    <w:rsid w:val="00511147"/>
    <w:rsid w:val="005118FF"/>
    <w:rsid w:val="00520B88"/>
    <w:rsid w:val="00540FC4"/>
    <w:rsid w:val="0054798B"/>
    <w:rsid w:val="00552D8A"/>
    <w:rsid w:val="00581E3A"/>
    <w:rsid w:val="005835B5"/>
    <w:rsid w:val="00583A65"/>
    <w:rsid w:val="00591176"/>
    <w:rsid w:val="005B5711"/>
    <w:rsid w:val="005E0711"/>
    <w:rsid w:val="005E3F07"/>
    <w:rsid w:val="005F6489"/>
    <w:rsid w:val="005F7506"/>
    <w:rsid w:val="00600B19"/>
    <w:rsid w:val="006069B0"/>
    <w:rsid w:val="00642752"/>
    <w:rsid w:val="00647460"/>
    <w:rsid w:val="006603FF"/>
    <w:rsid w:val="00664300"/>
    <w:rsid w:val="00682D67"/>
    <w:rsid w:val="006902C8"/>
    <w:rsid w:val="00691199"/>
    <w:rsid w:val="006A1B5E"/>
    <w:rsid w:val="006C0305"/>
    <w:rsid w:val="006C2D23"/>
    <w:rsid w:val="006D0883"/>
    <w:rsid w:val="006E6CC0"/>
    <w:rsid w:val="006E6D75"/>
    <w:rsid w:val="006E7728"/>
    <w:rsid w:val="006F04B8"/>
    <w:rsid w:val="006F5DCC"/>
    <w:rsid w:val="006F5F0F"/>
    <w:rsid w:val="0072759A"/>
    <w:rsid w:val="00731DC6"/>
    <w:rsid w:val="00733975"/>
    <w:rsid w:val="00740CE4"/>
    <w:rsid w:val="00755A95"/>
    <w:rsid w:val="00761A2F"/>
    <w:rsid w:val="00780FA9"/>
    <w:rsid w:val="007910EE"/>
    <w:rsid w:val="0079488D"/>
    <w:rsid w:val="00797D2F"/>
    <w:rsid w:val="007B0132"/>
    <w:rsid w:val="007C5ED6"/>
    <w:rsid w:val="007F0F72"/>
    <w:rsid w:val="008010C9"/>
    <w:rsid w:val="0080120F"/>
    <w:rsid w:val="00803DE7"/>
    <w:rsid w:val="00804AF7"/>
    <w:rsid w:val="00806ED7"/>
    <w:rsid w:val="00812DB6"/>
    <w:rsid w:val="00816402"/>
    <w:rsid w:val="008468F4"/>
    <w:rsid w:val="00853CCD"/>
    <w:rsid w:val="00867D84"/>
    <w:rsid w:val="008735B4"/>
    <w:rsid w:val="008739D6"/>
    <w:rsid w:val="008773A0"/>
    <w:rsid w:val="00877CEB"/>
    <w:rsid w:val="0088140A"/>
    <w:rsid w:val="00891AEB"/>
    <w:rsid w:val="00893553"/>
    <w:rsid w:val="00897028"/>
    <w:rsid w:val="008F5BA9"/>
    <w:rsid w:val="00905B21"/>
    <w:rsid w:val="009270C1"/>
    <w:rsid w:val="00945A08"/>
    <w:rsid w:val="009505E0"/>
    <w:rsid w:val="0097418D"/>
    <w:rsid w:val="00983936"/>
    <w:rsid w:val="009962FD"/>
    <w:rsid w:val="009B0293"/>
    <w:rsid w:val="009D03C0"/>
    <w:rsid w:val="009D0D62"/>
    <w:rsid w:val="00A14743"/>
    <w:rsid w:val="00A156BD"/>
    <w:rsid w:val="00A2174D"/>
    <w:rsid w:val="00A40715"/>
    <w:rsid w:val="00A41515"/>
    <w:rsid w:val="00A61506"/>
    <w:rsid w:val="00A71CE7"/>
    <w:rsid w:val="00A71D5A"/>
    <w:rsid w:val="00A916F4"/>
    <w:rsid w:val="00AA02FC"/>
    <w:rsid w:val="00AB6A2F"/>
    <w:rsid w:val="00AC7EAB"/>
    <w:rsid w:val="00AD7FF5"/>
    <w:rsid w:val="00AE3FBA"/>
    <w:rsid w:val="00B05B05"/>
    <w:rsid w:val="00B071AF"/>
    <w:rsid w:val="00B11B0C"/>
    <w:rsid w:val="00B22BBC"/>
    <w:rsid w:val="00B2643F"/>
    <w:rsid w:val="00B41651"/>
    <w:rsid w:val="00B57FCF"/>
    <w:rsid w:val="00B73E62"/>
    <w:rsid w:val="00B85122"/>
    <w:rsid w:val="00B902D3"/>
    <w:rsid w:val="00BA52A0"/>
    <w:rsid w:val="00BB2C59"/>
    <w:rsid w:val="00BC69A3"/>
    <w:rsid w:val="00BE37C8"/>
    <w:rsid w:val="00BE4717"/>
    <w:rsid w:val="00BF7B8D"/>
    <w:rsid w:val="00C11B25"/>
    <w:rsid w:val="00C27B72"/>
    <w:rsid w:val="00C303D8"/>
    <w:rsid w:val="00C30A95"/>
    <w:rsid w:val="00C372D6"/>
    <w:rsid w:val="00C452B2"/>
    <w:rsid w:val="00C71877"/>
    <w:rsid w:val="00C75FFA"/>
    <w:rsid w:val="00C97B46"/>
    <w:rsid w:val="00CA0266"/>
    <w:rsid w:val="00CB6873"/>
    <w:rsid w:val="00CC5BF0"/>
    <w:rsid w:val="00D03966"/>
    <w:rsid w:val="00D33148"/>
    <w:rsid w:val="00D33BDF"/>
    <w:rsid w:val="00D3442F"/>
    <w:rsid w:val="00D5353A"/>
    <w:rsid w:val="00D645EB"/>
    <w:rsid w:val="00D6688F"/>
    <w:rsid w:val="00D753DF"/>
    <w:rsid w:val="00D93246"/>
    <w:rsid w:val="00DA552B"/>
    <w:rsid w:val="00DA56E2"/>
    <w:rsid w:val="00DA65CB"/>
    <w:rsid w:val="00DC22E6"/>
    <w:rsid w:val="00DD0EE5"/>
    <w:rsid w:val="00E01CB4"/>
    <w:rsid w:val="00E400F6"/>
    <w:rsid w:val="00E546AE"/>
    <w:rsid w:val="00E775E4"/>
    <w:rsid w:val="00EC276D"/>
    <w:rsid w:val="00ED17E1"/>
    <w:rsid w:val="00ED66D0"/>
    <w:rsid w:val="00F10C16"/>
    <w:rsid w:val="00F34D8A"/>
    <w:rsid w:val="00F4582C"/>
    <w:rsid w:val="00F52E70"/>
    <w:rsid w:val="00F7468D"/>
    <w:rsid w:val="00F91ABE"/>
    <w:rsid w:val="00F9691E"/>
    <w:rsid w:val="00FA5123"/>
    <w:rsid w:val="00FD3E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E05518"/>
  <w15:chartTrackingRefBased/>
  <w15:docId w15:val="{61ED372E-8953-4B35-AEDA-04E2C4EE2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511147"/>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11147"/>
  </w:style>
  <w:style w:type="paragraph" w:styleId="Caption">
    <w:name w:val="caption"/>
    <w:basedOn w:val="Normal"/>
    <w:next w:val="Normal"/>
    <w:uiPriority w:val="35"/>
    <w:unhideWhenUsed/>
    <w:qFormat/>
    <w:rsid w:val="00A40715"/>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A407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715"/>
    <w:rPr>
      <w:rFonts w:ascii="Segoe UI" w:hAnsi="Segoe UI" w:cs="Segoe UI"/>
      <w:sz w:val="18"/>
      <w:szCs w:val="18"/>
    </w:rPr>
  </w:style>
  <w:style w:type="paragraph" w:styleId="Header">
    <w:name w:val="header"/>
    <w:basedOn w:val="Normal"/>
    <w:link w:val="HeaderChar"/>
    <w:uiPriority w:val="99"/>
    <w:semiHidden/>
    <w:unhideWhenUsed/>
    <w:rsid w:val="00A2174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174D"/>
  </w:style>
  <w:style w:type="paragraph" w:styleId="Footer">
    <w:name w:val="footer"/>
    <w:basedOn w:val="Normal"/>
    <w:link w:val="FooterChar"/>
    <w:uiPriority w:val="99"/>
    <w:semiHidden/>
    <w:unhideWhenUsed/>
    <w:rsid w:val="00A2174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17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_dlc_DocId xmlns="12c87010-54c7-4968-977c-9bb319d35727">2FHT6SDPEKRM-335803755-46293</_dlc_DocId>
    <_dlc_DocIdUrl xmlns="12c87010-54c7-4968-977c-9bb319d35727">
      <Url>https://qualcomm.sharepoint.com/teams/SkyBer/_layouts/15/DocIdRedir.aspx?ID=2FHT6SDPEKRM-335803755-46293</Url>
      <Description>2FHT6SDPEKRM-335803755-46293</Description>
    </_dlc_DocIdUrl>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095D84-1494-4265-A49A-BC26957E1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4C0BB5-222D-4464-90A8-2D3BA52AEB5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3.xml><?xml version="1.0" encoding="utf-8"?>
<ds:datastoreItem xmlns:ds="http://schemas.openxmlformats.org/officeDocument/2006/customXml" ds:itemID="{AB2C458F-3569-47BF-8989-A96C91BAB48F}">
  <ds:schemaRefs>
    <ds:schemaRef ds:uri="http://schemas.microsoft.com/sharepoint/v3/contenttype/forms"/>
  </ds:schemaRefs>
</ds:datastoreItem>
</file>

<file path=customXml/itemProps4.xml><?xml version="1.0" encoding="utf-8"?>
<ds:datastoreItem xmlns:ds="http://schemas.openxmlformats.org/officeDocument/2006/customXml" ds:itemID="{873BEE82-D709-4226-9FDA-DA7F8A67F0D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1160</Words>
  <Characters>6613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 Abedini</dc:creator>
  <cp:keywords/>
  <dc:description/>
  <cp:lastModifiedBy>Qualcomm</cp:lastModifiedBy>
  <cp:revision>2</cp:revision>
  <dcterms:created xsi:type="dcterms:W3CDTF">2022-12-05T18:51:00Z</dcterms:created>
  <dcterms:modified xsi:type="dcterms:W3CDTF">2022-12-05T18:51:00Z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23e0da58-4e2b-4484-ac39-7b4a71a87193</vt:lpwstr>
  </property>
  <property fmtid="{D5CDD505-2E9C-101B-9397-08002B2CF9AE}" pid="4" name="MediaServiceImageTags">
    <vt:lpwstr/>
  </property>
</Properties>
</file>